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Pr="0028693A" w:rsidRDefault="00381036" w:rsidP="00381036">
      <w:pPr>
        <w:jc w:val="center"/>
        <w:rPr>
          <w:rFonts w:ascii="Cambria Math" w:hAnsi="Cambria Math"/>
          <w:b/>
          <w:sz w:val="32"/>
          <w:szCs w:val="32"/>
        </w:rPr>
      </w:pPr>
      <w:r w:rsidRPr="0028693A">
        <w:rPr>
          <w:rFonts w:ascii="Cambria Math" w:hAnsi="Cambria Math"/>
          <w:b/>
          <w:sz w:val="32"/>
          <w:szCs w:val="32"/>
        </w:rPr>
        <w:t xml:space="preserve">VEŘEJNOPRÁVNÍ SMLOUVA </w:t>
      </w:r>
      <w:r w:rsidR="00D903C0">
        <w:rPr>
          <w:rFonts w:ascii="Cambria Math" w:hAnsi="Cambria Math"/>
          <w:b/>
          <w:sz w:val="32"/>
          <w:szCs w:val="32"/>
        </w:rPr>
        <w:t>č. 1/202</w:t>
      </w:r>
      <w:r w:rsidR="00BD6676">
        <w:rPr>
          <w:rFonts w:ascii="Cambria Math" w:hAnsi="Cambria Math"/>
          <w:b/>
          <w:sz w:val="32"/>
          <w:szCs w:val="32"/>
        </w:rPr>
        <w:t>2</w:t>
      </w:r>
      <w:r w:rsidR="00D903C0">
        <w:rPr>
          <w:rFonts w:ascii="Cambria Math" w:hAnsi="Cambria Math"/>
          <w:b/>
          <w:sz w:val="32"/>
          <w:szCs w:val="32"/>
        </w:rPr>
        <w:t xml:space="preserve"> </w:t>
      </w:r>
      <w:r w:rsidRPr="0028693A">
        <w:rPr>
          <w:rFonts w:ascii="Cambria Math" w:hAnsi="Cambria Math"/>
          <w:b/>
          <w:sz w:val="32"/>
          <w:szCs w:val="32"/>
        </w:rPr>
        <w:t>O POSKYTNUTÍ DOTACE</w:t>
      </w:r>
    </w:p>
    <w:p w:rsidR="00381036" w:rsidRPr="00C43D43" w:rsidRDefault="00381036" w:rsidP="00381036">
      <w:pPr>
        <w:jc w:val="both"/>
        <w:rPr>
          <w:rFonts w:ascii="Cambria Math" w:hAnsi="Cambria Math"/>
          <w:b/>
        </w:rPr>
      </w:pPr>
      <w:r w:rsidRPr="00C43D43">
        <w:rPr>
          <w:rFonts w:ascii="Cambria Math" w:hAnsi="Cambria Math"/>
          <w:b/>
        </w:rPr>
        <w:t>Smluvní strany</w:t>
      </w:r>
    </w:p>
    <w:p w:rsidR="00381036" w:rsidRPr="00C43D43" w:rsidRDefault="00381036" w:rsidP="00381036">
      <w:pPr>
        <w:spacing w:after="0"/>
        <w:jc w:val="both"/>
        <w:rPr>
          <w:rFonts w:ascii="Cambria Math" w:hAnsi="Cambria Math"/>
          <w:b/>
        </w:rPr>
      </w:pPr>
      <w:r w:rsidRPr="00C43D43">
        <w:rPr>
          <w:rFonts w:ascii="Cambria Math" w:hAnsi="Cambria Math"/>
          <w:b/>
        </w:rPr>
        <w:t>Obec Vitčice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zastoupená</w:t>
      </w:r>
      <w:proofErr w:type="gramEnd"/>
      <w:r w:rsidRPr="00C43D43">
        <w:rPr>
          <w:rFonts w:ascii="Cambria Math" w:hAnsi="Cambria Math"/>
        </w:rPr>
        <w:t>: Mojmírem Greplem, starostou obce Vitčice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sídlo</w:t>
      </w:r>
      <w:proofErr w:type="gramEnd"/>
      <w:r w:rsidRPr="00C43D43">
        <w:rPr>
          <w:rFonts w:ascii="Cambria Math" w:hAnsi="Cambria Math"/>
        </w:rPr>
        <w:t>: Vitčice č. p. 31; 798 27 Němčice nad Hanou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IČ: 00 600 091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DIČ: CZ00600091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Bankovní spojení: Komerční </w:t>
      </w:r>
      <w:proofErr w:type="gramStart"/>
      <w:r w:rsidRPr="00C43D43">
        <w:rPr>
          <w:rFonts w:ascii="Cambria Math" w:hAnsi="Cambria Math"/>
        </w:rPr>
        <w:t>banka</w:t>
      </w:r>
      <w:proofErr w:type="gramEnd"/>
      <w:r w:rsidRPr="00C43D43">
        <w:rPr>
          <w:rFonts w:ascii="Cambria Math" w:hAnsi="Cambria Math"/>
        </w:rPr>
        <w:t>, a.s.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Číslo účtu: 21 325 701/0100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Telefon: 582 388 052</w:t>
      </w:r>
    </w:p>
    <w:p w:rsidR="00381036" w:rsidRPr="00C43D43" w:rsidRDefault="00381036" w:rsidP="00A82FDF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e-mail</w:t>
      </w:r>
      <w:proofErr w:type="gramEnd"/>
      <w:r w:rsidRPr="00C43D43">
        <w:rPr>
          <w:rFonts w:ascii="Cambria Math" w:hAnsi="Cambria Math"/>
        </w:rPr>
        <w:t xml:space="preserve">: </w:t>
      </w:r>
      <w:hyperlink r:id="rId5" w:history="1">
        <w:r w:rsidR="00317250" w:rsidRPr="00C43D43">
          <w:rPr>
            <w:rStyle w:val="Hypertextovodkaz"/>
            <w:rFonts w:ascii="Cambria Math" w:hAnsi="Cambria Math"/>
            <w:color w:val="auto"/>
            <w:u w:val="none"/>
          </w:rPr>
          <w:t>obec@vitcice.cz</w:t>
        </w:r>
      </w:hyperlink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ID: p85ash7</w:t>
      </w:r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  <w:i/>
        </w:rPr>
      </w:pPr>
      <w:r w:rsidRPr="00C43D43">
        <w:rPr>
          <w:rFonts w:ascii="Cambria Math" w:hAnsi="Cambria Math"/>
          <w:i/>
        </w:rPr>
        <w:t>(</w:t>
      </w:r>
      <w:proofErr w:type="gramStart"/>
      <w:r w:rsidRPr="00C43D43">
        <w:rPr>
          <w:rFonts w:ascii="Cambria Math" w:hAnsi="Cambria Math"/>
          <w:i/>
        </w:rPr>
        <w:t>dále</w:t>
      </w:r>
      <w:proofErr w:type="gramEnd"/>
      <w:r w:rsidRPr="00C43D43">
        <w:rPr>
          <w:rFonts w:ascii="Cambria Math" w:hAnsi="Cambria Math"/>
          <w:i/>
        </w:rPr>
        <w:t xml:space="preserve"> jen poskytovatel)</w:t>
      </w:r>
    </w:p>
    <w:p w:rsidR="00317250" w:rsidRPr="00C43D43" w:rsidRDefault="00317250" w:rsidP="00381036">
      <w:pPr>
        <w:spacing w:after="0" w:line="276" w:lineRule="auto"/>
        <w:jc w:val="both"/>
        <w:rPr>
          <w:rFonts w:ascii="Cambria Math" w:hAnsi="Cambria Math"/>
          <w:i/>
        </w:rPr>
      </w:pPr>
    </w:p>
    <w:p w:rsidR="00317250" w:rsidRPr="00C43D43" w:rsidRDefault="00317250" w:rsidP="00381036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a</w:t>
      </w:r>
      <w:proofErr w:type="gramEnd"/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</w:rPr>
      </w:pPr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  <w:b/>
        </w:rPr>
      </w:pPr>
      <w:proofErr w:type="gramStart"/>
      <w:r w:rsidRPr="00C43D43">
        <w:rPr>
          <w:rFonts w:ascii="Cambria Math" w:hAnsi="Cambria Math"/>
          <w:b/>
        </w:rPr>
        <w:t xml:space="preserve">TJ Vitčice </w:t>
      </w:r>
      <w:proofErr w:type="spellStart"/>
      <w:r w:rsidRPr="00C43D43">
        <w:rPr>
          <w:rFonts w:ascii="Cambria Math" w:hAnsi="Cambria Math"/>
          <w:b/>
        </w:rPr>
        <w:t>z.s</w:t>
      </w:r>
      <w:proofErr w:type="spellEnd"/>
      <w:r w:rsidRPr="00C43D43">
        <w:rPr>
          <w:rFonts w:ascii="Cambria Math" w:hAnsi="Cambria Math"/>
          <w:b/>
        </w:rPr>
        <w:t>.</w:t>
      </w:r>
      <w:proofErr w:type="gramEnd"/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zastoupená</w:t>
      </w:r>
      <w:proofErr w:type="gramEnd"/>
      <w:r w:rsidRPr="00C43D43">
        <w:rPr>
          <w:rFonts w:ascii="Cambria Math" w:hAnsi="Cambria Math"/>
        </w:rPr>
        <w:t xml:space="preserve">: Ing. </w:t>
      </w:r>
      <w:proofErr w:type="spellStart"/>
      <w:r w:rsidRPr="00C43D43">
        <w:rPr>
          <w:rFonts w:ascii="Cambria Math" w:hAnsi="Cambria Math"/>
        </w:rPr>
        <w:t>Luďkem</w:t>
      </w:r>
      <w:proofErr w:type="spellEnd"/>
      <w:r w:rsidRPr="00C43D43">
        <w:rPr>
          <w:rFonts w:ascii="Cambria Math" w:hAnsi="Cambria Math"/>
        </w:rPr>
        <w:t xml:space="preserve"> </w:t>
      </w:r>
      <w:proofErr w:type="spellStart"/>
      <w:r w:rsidRPr="00C43D43">
        <w:rPr>
          <w:rFonts w:ascii="Cambria Math" w:hAnsi="Cambria Math"/>
        </w:rPr>
        <w:t>Ferencem</w:t>
      </w:r>
      <w:proofErr w:type="spellEnd"/>
      <w:r w:rsidRPr="00C43D43">
        <w:rPr>
          <w:rFonts w:ascii="Cambria Math" w:hAnsi="Cambria Math"/>
        </w:rPr>
        <w:t xml:space="preserve">, předsedou TJ Vitčice </w:t>
      </w:r>
      <w:proofErr w:type="spellStart"/>
      <w:r w:rsidRPr="00C43D43">
        <w:rPr>
          <w:rFonts w:ascii="Cambria Math" w:hAnsi="Cambria Math"/>
        </w:rPr>
        <w:t>z.s</w:t>
      </w:r>
      <w:proofErr w:type="spellEnd"/>
      <w:r w:rsidRPr="00C43D43">
        <w:rPr>
          <w:rFonts w:ascii="Cambria Math" w:hAnsi="Cambria Math"/>
        </w:rPr>
        <w:t>.</w:t>
      </w:r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</w:rPr>
        <w:t>sídlo</w:t>
      </w:r>
      <w:proofErr w:type="gramEnd"/>
      <w:r w:rsidRPr="00C43D43">
        <w:rPr>
          <w:rFonts w:ascii="Cambria Math" w:hAnsi="Cambria Math"/>
        </w:rPr>
        <w:t>: Vitčice č. p. 40; 798 27 Němčice nad Hanou</w:t>
      </w:r>
    </w:p>
    <w:p w:rsidR="00317250" w:rsidRPr="00C43D43" w:rsidRDefault="00317250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IČ: 155 45</w:t>
      </w:r>
      <w:r w:rsidR="00A82FDF" w:rsidRPr="00C43D43">
        <w:rPr>
          <w:rFonts w:ascii="Cambria Math" w:hAnsi="Cambria Math"/>
        </w:rPr>
        <w:t> </w:t>
      </w:r>
      <w:r w:rsidRPr="00C43D43">
        <w:rPr>
          <w:rFonts w:ascii="Cambria Math" w:hAnsi="Cambria Math"/>
        </w:rPr>
        <w:t>679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Bankovní spojení: Česká spořitelna, a.s.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Číslo účtu: 1500 533 369/0800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  <w:i/>
        </w:rPr>
        <w:t>(</w:t>
      </w:r>
      <w:proofErr w:type="gramStart"/>
      <w:r w:rsidRPr="00C43D43">
        <w:rPr>
          <w:rFonts w:ascii="Cambria Math" w:hAnsi="Cambria Math"/>
          <w:i/>
        </w:rPr>
        <w:t>dále</w:t>
      </w:r>
      <w:proofErr w:type="gramEnd"/>
      <w:r w:rsidRPr="00C43D43">
        <w:rPr>
          <w:rFonts w:ascii="Cambria Math" w:hAnsi="Cambria Math"/>
          <w:i/>
        </w:rPr>
        <w:t xml:space="preserve"> jen příjemce)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Uzavírají podle § 10 zákona číslo 250/2000 Sb., o rozpočtových pravidlech územních rozpočtů, a § 85 </w:t>
      </w:r>
      <w:proofErr w:type="spellStart"/>
      <w:r w:rsidRPr="00C43D43">
        <w:rPr>
          <w:rFonts w:ascii="Cambria Math" w:hAnsi="Cambria Math"/>
        </w:rPr>
        <w:t>písmene</w:t>
      </w:r>
      <w:proofErr w:type="spellEnd"/>
      <w:r w:rsidRPr="00C43D43">
        <w:rPr>
          <w:rFonts w:ascii="Cambria Math" w:hAnsi="Cambria Math"/>
        </w:rPr>
        <w:t xml:space="preserve"> c) zákona číslo 128/2000 Sb., o </w:t>
      </w:r>
      <w:proofErr w:type="spellStart"/>
      <w:r w:rsidRPr="00C43D43">
        <w:rPr>
          <w:rFonts w:ascii="Cambria Math" w:hAnsi="Cambria Math"/>
        </w:rPr>
        <w:t>obcích</w:t>
      </w:r>
      <w:proofErr w:type="spellEnd"/>
      <w:r w:rsidRPr="00C43D43">
        <w:rPr>
          <w:rFonts w:ascii="Cambria Math" w:hAnsi="Cambria Math"/>
        </w:rPr>
        <w:t>, tuto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</w:p>
    <w:p w:rsidR="00A82FDF" w:rsidRPr="00C43D43" w:rsidRDefault="00A82FDF" w:rsidP="00A82FDF">
      <w:pPr>
        <w:spacing w:after="0" w:line="276" w:lineRule="auto"/>
        <w:jc w:val="center"/>
        <w:rPr>
          <w:rFonts w:ascii="Cambria Math" w:hAnsi="Cambria Math"/>
          <w:b/>
        </w:rPr>
      </w:pPr>
      <w:r w:rsidRPr="00C43D43">
        <w:rPr>
          <w:rFonts w:ascii="Cambria Math" w:hAnsi="Cambria Math"/>
          <w:b/>
        </w:rPr>
        <w:t>VEŘEJNOPRÁVNÍ SMLOUVU O POSKYTNUTÍ DOTACE</w:t>
      </w:r>
    </w:p>
    <w:p w:rsidR="00A82FDF" w:rsidRPr="00C43D43" w:rsidRDefault="00A82FDF" w:rsidP="00A82FDF">
      <w:pPr>
        <w:spacing w:after="0" w:line="276" w:lineRule="auto"/>
        <w:jc w:val="both"/>
        <w:rPr>
          <w:rFonts w:ascii="Cambria Math" w:hAnsi="Cambria Math"/>
        </w:rPr>
      </w:pPr>
    </w:p>
    <w:p w:rsidR="00A82FDF" w:rsidRPr="00C43D43" w:rsidRDefault="00A82FDF" w:rsidP="00A82FDF">
      <w:pPr>
        <w:spacing w:after="0" w:line="276" w:lineRule="auto"/>
        <w:jc w:val="center"/>
        <w:rPr>
          <w:rFonts w:ascii="Cambria Math" w:hAnsi="Cambria Math"/>
          <w:b/>
        </w:rPr>
      </w:pPr>
      <w:proofErr w:type="gramStart"/>
      <w:r w:rsidRPr="00C43D43">
        <w:rPr>
          <w:rFonts w:ascii="Cambria Math" w:hAnsi="Cambria Math"/>
          <w:b/>
        </w:rPr>
        <w:t>ČLÁNEK I.</w:t>
      </w:r>
      <w:proofErr w:type="gramEnd"/>
    </w:p>
    <w:p w:rsidR="00A82FDF" w:rsidRDefault="00523338" w:rsidP="00523338">
      <w:pPr>
        <w:pStyle w:val="Odstavecseseznamem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Obec Vitčice poskytne</w:t>
      </w:r>
      <w:r w:rsidR="00E24810" w:rsidRPr="00C43D43">
        <w:rPr>
          <w:rFonts w:ascii="Cambria Math" w:hAnsi="Cambria Math"/>
        </w:rPr>
        <w:t xml:space="preserve"> příjemci </w:t>
      </w:r>
      <w:r w:rsidRPr="00C43D43">
        <w:rPr>
          <w:rFonts w:ascii="Cambria Math" w:hAnsi="Cambria Math"/>
        </w:rPr>
        <w:t>v roce 202</w:t>
      </w:r>
      <w:r w:rsidR="00BD6676">
        <w:rPr>
          <w:rFonts w:ascii="Cambria Math" w:hAnsi="Cambria Math"/>
        </w:rPr>
        <w:t>2</w:t>
      </w:r>
      <w:r w:rsidRPr="00C43D43">
        <w:rPr>
          <w:rFonts w:ascii="Cambria Math" w:hAnsi="Cambria Math"/>
        </w:rPr>
        <w:t xml:space="preserve"> </w:t>
      </w:r>
      <w:proofErr w:type="spellStart"/>
      <w:r w:rsidRPr="00C43D43">
        <w:rPr>
          <w:rFonts w:ascii="Cambria Math" w:hAnsi="Cambria Math"/>
        </w:rPr>
        <w:t>individuální</w:t>
      </w:r>
      <w:proofErr w:type="spellEnd"/>
      <w:r w:rsidR="00E24810" w:rsidRPr="00C43D43">
        <w:rPr>
          <w:rFonts w:ascii="Cambria Math" w:hAnsi="Cambria Math"/>
        </w:rPr>
        <w:t xml:space="preserve"> </w:t>
      </w:r>
      <w:proofErr w:type="spellStart"/>
      <w:r w:rsidR="00E24810" w:rsidRPr="00C43D43">
        <w:rPr>
          <w:rFonts w:ascii="Cambria Math" w:hAnsi="Cambria Math"/>
        </w:rPr>
        <w:t>neinvestiční</w:t>
      </w:r>
      <w:proofErr w:type="spellEnd"/>
      <w:r w:rsidR="00E24810" w:rsidRPr="00C43D43">
        <w:rPr>
          <w:rFonts w:ascii="Cambria Math" w:hAnsi="Cambria Math"/>
        </w:rPr>
        <w:t xml:space="preserve"> dotaci </w:t>
      </w:r>
      <w:r w:rsidRPr="00C43D43">
        <w:rPr>
          <w:rFonts w:ascii="Cambria Math" w:hAnsi="Cambria Math"/>
        </w:rPr>
        <w:t>do výše maximálně</w:t>
      </w:r>
      <w:r w:rsidRPr="00C43D43">
        <w:rPr>
          <w:rFonts w:ascii="Cambria Math" w:hAnsi="Cambria Math"/>
          <w:b/>
        </w:rPr>
        <w:t xml:space="preserve"> 250.000,00 Kč, (</w:t>
      </w:r>
      <w:r w:rsidRPr="00C43D43">
        <w:rPr>
          <w:rFonts w:ascii="Cambria Math" w:hAnsi="Cambria Math"/>
        </w:rPr>
        <w:t xml:space="preserve">slovy </w:t>
      </w:r>
      <w:proofErr w:type="spellStart"/>
      <w:r w:rsidRPr="00C43D43">
        <w:rPr>
          <w:rFonts w:ascii="Cambria Math" w:hAnsi="Cambria Math"/>
        </w:rPr>
        <w:t>dvěstěpadesáttisíc</w:t>
      </w:r>
      <w:proofErr w:type="spellEnd"/>
      <w:r w:rsidRPr="00C43D43">
        <w:rPr>
          <w:rFonts w:ascii="Cambria Math" w:hAnsi="Cambria Math"/>
        </w:rPr>
        <w:t xml:space="preserve"> korun) </w:t>
      </w:r>
      <w:r w:rsidR="00E24810" w:rsidRPr="00C43D43">
        <w:rPr>
          <w:rFonts w:ascii="Cambria Math" w:hAnsi="Cambria Math"/>
        </w:rPr>
        <w:t xml:space="preserve">a </w:t>
      </w:r>
      <w:proofErr w:type="spellStart"/>
      <w:r w:rsidR="00E24810" w:rsidRPr="00C43D43">
        <w:rPr>
          <w:rFonts w:ascii="Cambria Math" w:hAnsi="Cambria Math"/>
        </w:rPr>
        <w:t>to</w:t>
      </w:r>
      <w:proofErr w:type="spellEnd"/>
      <w:r w:rsidR="00E24810" w:rsidRPr="00C43D43">
        <w:rPr>
          <w:rFonts w:ascii="Cambria Math" w:hAnsi="Cambria Math"/>
        </w:rPr>
        <w:t xml:space="preserve"> </w:t>
      </w:r>
      <w:proofErr w:type="gramStart"/>
      <w:r w:rsidR="00E24810" w:rsidRPr="00C43D43">
        <w:rPr>
          <w:rFonts w:ascii="Cambria Math" w:hAnsi="Cambria Math"/>
        </w:rPr>
        <w:t>na</w:t>
      </w:r>
      <w:proofErr w:type="gramEnd"/>
      <w:r w:rsidR="00E24810" w:rsidRPr="00C43D43">
        <w:rPr>
          <w:rFonts w:ascii="Cambria Math" w:hAnsi="Cambria Math"/>
        </w:rPr>
        <w:t xml:space="preserve"> základě podané žádosti </w:t>
      </w:r>
      <w:r w:rsidRPr="00C43D43">
        <w:rPr>
          <w:rFonts w:ascii="Cambria Math" w:hAnsi="Cambria Math"/>
        </w:rPr>
        <w:t xml:space="preserve">o poskytnutí dotace na </w:t>
      </w:r>
      <w:proofErr w:type="spellStart"/>
      <w:r w:rsidR="00321A78" w:rsidRPr="00C43D43">
        <w:rPr>
          <w:rFonts w:ascii="Cambria Math" w:hAnsi="Cambria Math"/>
        </w:rPr>
        <w:t>částečné</w:t>
      </w:r>
      <w:proofErr w:type="spellEnd"/>
      <w:r w:rsidR="00321A78" w:rsidRPr="00C43D43">
        <w:rPr>
          <w:rFonts w:ascii="Cambria Math" w:hAnsi="Cambria Math"/>
        </w:rPr>
        <w:t xml:space="preserve"> </w:t>
      </w:r>
      <w:proofErr w:type="spellStart"/>
      <w:r w:rsidR="00321A78" w:rsidRPr="00C43D43">
        <w:rPr>
          <w:rFonts w:ascii="Cambria Math" w:hAnsi="Cambria Math"/>
        </w:rPr>
        <w:t>pokrytí</w:t>
      </w:r>
      <w:proofErr w:type="spellEnd"/>
      <w:r w:rsidR="00321A78" w:rsidRPr="00C43D43">
        <w:rPr>
          <w:rFonts w:ascii="Cambria Math" w:hAnsi="Cambria Math"/>
        </w:rPr>
        <w:t xml:space="preserve"> </w:t>
      </w:r>
      <w:proofErr w:type="spellStart"/>
      <w:r w:rsidR="00321A78" w:rsidRPr="00C43D43">
        <w:rPr>
          <w:rFonts w:ascii="Cambria Math" w:hAnsi="Cambria Math"/>
        </w:rPr>
        <w:t>mzdových</w:t>
      </w:r>
      <w:proofErr w:type="spellEnd"/>
      <w:r w:rsidR="00321A78" w:rsidRPr="00C43D43">
        <w:rPr>
          <w:rFonts w:ascii="Cambria Math" w:hAnsi="Cambria Math"/>
        </w:rPr>
        <w:t xml:space="preserve"> nákladů zaměstnance, </w:t>
      </w:r>
      <w:proofErr w:type="spellStart"/>
      <w:r w:rsidRPr="00C43D43">
        <w:rPr>
          <w:rFonts w:ascii="Cambria Math" w:hAnsi="Cambria Math"/>
        </w:rPr>
        <w:t>činnost</w:t>
      </w:r>
      <w:proofErr w:type="spellEnd"/>
      <w:r w:rsidRPr="00C43D43">
        <w:rPr>
          <w:rFonts w:ascii="Cambria Math" w:hAnsi="Cambria Math"/>
        </w:rPr>
        <w:t xml:space="preserve"> a </w:t>
      </w:r>
      <w:proofErr w:type="spellStart"/>
      <w:r w:rsidRPr="00C43D43">
        <w:rPr>
          <w:rFonts w:ascii="Cambria Math" w:hAnsi="Cambria Math"/>
        </w:rPr>
        <w:t>provoz</w:t>
      </w:r>
      <w:proofErr w:type="spellEnd"/>
      <w:r w:rsidRPr="00C43D43">
        <w:rPr>
          <w:rFonts w:ascii="Cambria Math" w:hAnsi="Cambria Math"/>
        </w:rPr>
        <w:t xml:space="preserve"> poho</w:t>
      </w:r>
      <w:r w:rsidR="00321A78" w:rsidRPr="00C43D43">
        <w:rPr>
          <w:rFonts w:ascii="Cambria Math" w:hAnsi="Cambria Math"/>
        </w:rPr>
        <w:t xml:space="preserve">stinství a </w:t>
      </w:r>
      <w:proofErr w:type="spellStart"/>
      <w:r w:rsidR="00321A78" w:rsidRPr="00C43D43">
        <w:rPr>
          <w:rFonts w:ascii="Cambria Math" w:hAnsi="Cambria Math"/>
        </w:rPr>
        <w:t>kulturního</w:t>
      </w:r>
      <w:proofErr w:type="spellEnd"/>
      <w:r w:rsidR="00321A78" w:rsidRPr="00C43D43">
        <w:rPr>
          <w:rFonts w:ascii="Cambria Math" w:hAnsi="Cambria Math"/>
        </w:rPr>
        <w:t xml:space="preserve"> zařízení. </w:t>
      </w:r>
    </w:p>
    <w:p w:rsidR="00C43D43" w:rsidRPr="00C43D4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523338" w:rsidRPr="00C43D43" w:rsidRDefault="00523338" w:rsidP="00523338">
      <w:pPr>
        <w:pStyle w:val="Odstavecseseznamem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Náklady budou </w:t>
      </w:r>
      <w:proofErr w:type="spellStart"/>
      <w:r w:rsidRPr="00C43D43">
        <w:rPr>
          <w:rFonts w:ascii="Cambria Math" w:hAnsi="Cambria Math"/>
        </w:rPr>
        <w:t>zaúčtovány</w:t>
      </w:r>
      <w:proofErr w:type="spellEnd"/>
      <w:r w:rsidRPr="00C43D43">
        <w:rPr>
          <w:rFonts w:ascii="Cambria Math" w:hAnsi="Cambria Math"/>
        </w:rPr>
        <w:t xml:space="preserve"> do kalendářního období roku 202</w:t>
      </w:r>
      <w:r w:rsidR="00BD6676">
        <w:rPr>
          <w:rFonts w:ascii="Cambria Math" w:hAnsi="Cambria Math"/>
        </w:rPr>
        <w:t>2</w:t>
      </w:r>
      <w:r w:rsidRPr="00C43D43">
        <w:rPr>
          <w:rFonts w:ascii="Cambria Math" w:hAnsi="Cambria Math"/>
        </w:rPr>
        <w:t xml:space="preserve"> (nelze </w:t>
      </w:r>
      <w:proofErr w:type="spellStart"/>
      <w:r w:rsidRPr="00C43D43">
        <w:rPr>
          <w:rFonts w:ascii="Cambria Math" w:hAnsi="Cambria Math"/>
        </w:rPr>
        <w:t>čerpat</w:t>
      </w:r>
      <w:proofErr w:type="spellEnd"/>
      <w:r w:rsidRPr="00C43D43">
        <w:rPr>
          <w:rFonts w:ascii="Cambria Math" w:hAnsi="Cambria Math"/>
        </w:rPr>
        <w:t xml:space="preserve"> </w:t>
      </w:r>
      <w:proofErr w:type="gramStart"/>
      <w:r w:rsidRPr="00C43D43">
        <w:rPr>
          <w:rFonts w:ascii="Cambria Math" w:hAnsi="Cambria Math"/>
        </w:rPr>
        <w:t>na</w:t>
      </w:r>
      <w:proofErr w:type="gramEnd"/>
      <w:r w:rsidRPr="00C43D43">
        <w:rPr>
          <w:rFonts w:ascii="Cambria Math" w:hAnsi="Cambria Math"/>
        </w:rPr>
        <w:t xml:space="preserve"> náklady </w:t>
      </w:r>
      <w:proofErr w:type="spellStart"/>
      <w:r w:rsidRPr="00C43D43">
        <w:rPr>
          <w:rFonts w:ascii="Cambria Math" w:hAnsi="Cambria Math"/>
        </w:rPr>
        <w:t>následujícího</w:t>
      </w:r>
      <w:proofErr w:type="spellEnd"/>
      <w:r w:rsidRPr="00C43D43">
        <w:rPr>
          <w:rFonts w:ascii="Cambria Math" w:hAnsi="Cambria Math"/>
        </w:rPr>
        <w:t xml:space="preserve"> roku). Dotace musí být použita </w:t>
      </w:r>
      <w:proofErr w:type="spellStart"/>
      <w:r w:rsidRPr="00C43D43">
        <w:rPr>
          <w:rFonts w:ascii="Cambria Math" w:hAnsi="Cambria Math"/>
        </w:rPr>
        <w:t>hospodárně</w:t>
      </w:r>
      <w:proofErr w:type="spellEnd"/>
      <w:r w:rsidRPr="00C43D43">
        <w:rPr>
          <w:rFonts w:ascii="Cambria Math" w:hAnsi="Cambria Math"/>
        </w:rPr>
        <w:t xml:space="preserve">. Příjemce dotace je povinen použít </w:t>
      </w:r>
      <w:proofErr w:type="spellStart"/>
      <w:r w:rsidRPr="00C43D43">
        <w:rPr>
          <w:rFonts w:ascii="Cambria Math" w:hAnsi="Cambria Math"/>
        </w:rPr>
        <w:t>poskytnutou</w:t>
      </w:r>
      <w:proofErr w:type="spellEnd"/>
      <w:r w:rsidRPr="00C43D43">
        <w:rPr>
          <w:rFonts w:ascii="Cambria Math" w:hAnsi="Cambria Math"/>
        </w:rPr>
        <w:t xml:space="preserve"> dotaci nejpozději </w:t>
      </w:r>
      <w:proofErr w:type="spellStart"/>
      <w:r w:rsidRPr="00C43D43">
        <w:rPr>
          <w:rFonts w:ascii="Cambria Math" w:hAnsi="Cambria Math"/>
        </w:rPr>
        <w:t>do</w:t>
      </w:r>
      <w:proofErr w:type="spellEnd"/>
      <w:r w:rsidRPr="00C43D43">
        <w:rPr>
          <w:rFonts w:ascii="Cambria Math" w:hAnsi="Cambria Math"/>
        </w:rPr>
        <w:t xml:space="preserve"> 31. </w:t>
      </w:r>
      <w:proofErr w:type="gramStart"/>
      <w:r w:rsidRPr="00C43D43">
        <w:rPr>
          <w:rFonts w:ascii="Cambria Math" w:hAnsi="Cambria Math"/>
        </w:rPr>
        <w:t>ledna</w:t>
      </w:r>
      <w:proofErr w:type="gramEnd"/>
      <w:r w:rsidRPr="00C43D43">
        <w:rPr>
          <w:rFonts w:ascii="Cambria Math" w:hAnsi="Cambria Math"/>
        </w:rPr>
        <w:t xml:space="preserve"> 202</w:t>
      </w:r>
      <w:r w:rsidR="00BD6676">
        <w:rPr>
          <w:rFonts w:ascii="Cambria Math" w:hAnsi="Cambria Math"/>
        </w:rPr>
        <w:t>3</w:t>
      </w:r>
      <w:r w:rsidRPr="00C43D43">
        <w:rPr>
          <w:rFonts w:ascii="Cambria Math" w:hAnsi="Cambria Math"/>
        </w:rPr>
        <w:t>.</w:t>
      </w:r>
    </w:p>
    <w:p w:rsidR="009B3332" w:rsidRPr="00C43D43" w:rsidRDefault="009B3332" w:rsidP="009B3332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9B3332" w:rsidRPr="00C43D43" w:rsidRDefault="009B3332" w:rsidP="009B3332">
      <w:pPr>
        <w:pStyle w:val="Odstavecseseznamem"/>
        <w:spacing w:after="0" w:line="276" w:lineRule="auto"/>
        <w:ind w:left="567"/>
        <w:jc w:val="center"/>
        <w:rPr>
          <w:rFonts w:ascii="Cambria Math" w:hAnsi="Cambria Math"/>
          <w:b/>
        </w:rPr>
      </w:pPr>
      <w:proofErr w:type="gramStart"/>
      <w:r w:rsidRPr="00C43D43">
        <w:rPr>
          <w:rFonts w:ascii="Cambria Math" w:hAnsi="Cambria Math"/>
          <w:b/>
        </w:rPr>
        <w:t>ČLÁNEK II.</w:t>
      </w:r>
      <w:proofErr w:type="gramEnd"/>
    </w:p>
    <w:p w:rsidR="008A7312" w:rsidRDefault="00E24810" w:rsidP="000F7116">
      <w:pPr>
        <w:pStyle w:val="Odstavecseseznamem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Obec </w:t>
      </w:r>
      <w:r w:rsidR="009B3332" w:rsidRPr="00C43D43">
        <w:rPr>
          <w:rFonts w:ascii="Cambria Math" w:hAnsi="Cambria Math"/>
        </w:rPr>
        <w:t xml:space="preserve">Vitčice výplatní finanční prostředky na účet číslo 1500533369/0800, </w:t>
      </w:r>
      <w:proofErr w:type="spellStart"/>
      <w:r w:rsidR="009B3332" w:rsidRPr="00C43D43">
        <w:rPr>
          <w:rFonts w:ascii="Cambria Math" w:hAnsi="Cambria Math"/>
        </w:rPr>
        <w:t>vedený</w:t>
      </w:r>
      <w:proofErr w:type="spellEnd"/>
      <w:r w:rsidR="009B3332" w:rsidRPr="00C43D43">
        <w:rPr>
          <w:rFonts w:ascii="Cambria Math" w:hAnsi="Cambria Math"/>
        </w:rPr>
        <w:t xml:space="preserve"> u České </w:t>
      </w:r>
      <w:proofErr w:type="spellStart"/>
      <w:r w:rsidR="009B3332" w:rsidRPr="00C43D43">
        <w:rPr>
          <w:rFonts w:ascii="Cambria Math" w:hAnsi="Cambria Math"/>
        </w:rPr>
        <w:t>spořitelny</w:t>
      </w:r>
      <w:proofErr w:type="spellEnd"/>
      <w:r w:rsidR="009B3332" w:rsidRPr="00C43D43">
        <w:rPr>
          <w:rFonts w:ascii="Cambria Math" w:hAnsi="Cambria Math"/>
        </w:rPr>
        <w:t xml:space="preserve">, a.s., po podpisu </w:t>
      </w:r>
      <w:proofErr w:type="spellStart"/>
      <w:r w:rsidR="009B3332" w:rsidRPr="00C43D43">
        <w:rPr>
          <w:rFonts w:ascii="Cambria Math" w:hAnsi="Cambria Math"/>
        </w:rPr>
        <w:t>veřejnoprávní</w:t>
      </w:r>
      <w:proofErr w:type="spellEnd"/>
      <w:r w:rsidR="009B3332" w:rsidRPr="00C43D43">
        <w:rPr>
          <w:rFonts w:ascii="Cambria Math" w:hAnsi="Cambria Math"/>
        </w:rPr>
        <w:t xml:space="preserve"> smlouvy </w:t>
      </w:r>
      <w:proofErr w:type="spellStart"/>
      <w:r w:rsidR="009B3332" w:rsidRPr="00C43D43">
        <w:rPr>
          <w:rFonts w:ascii="Cambria Math" w:hAnsi="Cambria Math"/>
        </w:rPr>
        <w:t>oběma</w:t>
      </w:r>
      <w:proofErr w:type="spellEnd"/>
      <w:r w:rsidR="009B3332" w:rsidRPr="00C43D43">
        <w:rPr>
          <w:rFonts w:ascii="Cambria Math" w:hAnsi="Cambria Math"/>
        </w:rPr>
        <w:t xml:space="preserve"> smluvními stranami ve </w:t>
      </w:r>
      <w:proofErr w:type="spellStart"/>
      <w:r w:rsidR="008A7312">
        <w:rPr>
          <w:rFonts w:ascii="Cambria Math" w:hAnsi="Cambria Math"/>
        </w:rPr>
        <w:t>třech</w:t>
      </w:r>
      <w:proofErr w:type="spellEnd"/>
    </w:p>
    <w:p w:rsidR="009B3332" w:rsidRDefault="008A7312" w:rsidP="008A7312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proofErr w:type="gramStart"/>
      <w:r w:rsidR="009B3332" w:rsidRPr="00C43D43">
        <w:rPr>
          <w:rFonts w:ascii="Cambria Math" w:hAnsi="Cambria Math"/>
        </w:rPr>
        <w:t>splátkách</w:t>
      </w:r>
      <w:proofErr w:type="gramEnd"/>
      <w:r w:rsidR="009B3332" w:rsidRPr="00C43D43">
        <w:rPr>
          <w:rFonts w:ascii="Cambria Math" w:hAnsi="Cambria Math"/>
        </w:rPr>
        <w:t>.</w:t>
      </w:r>
    </w:p>
    <w:p w:rsidR="00C43D43" w:rsidRPr="00C43D4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E24810" w:rsidRPr="00853F3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První </w:t>
      </w:r>
      <w:proofErr w:type="spellStart"/>
      <w:r w:rsidR="009B3332" w:rsidRPr="00C43D43">
        <w:rPr>
          <w:rFonts w:ascii="Cambria Math" w:hAnsi="Cambria Math"/>
        </w:rPr>
        <w:t>splátka</w:t>
      </w:r>
      <w:proofErr w:type="spellEnd"/>
      <w:r w:rsidR="009B3332" w:rsidRPr="00C43D43">
        <w:rPr>
          <w:rFonts w:ascii="Cambria Math" w:hAnsi="Cambria Math"/>
        </w:rPr>
        <w:t xml:space="preserve"> (</w:t>
      </w:r>
      <w:proofErr w:type="spellStart"/>
      <w:r w:rsidR="009B3332" w:rsidRPr="00C43D43">
        <w:rPr>
          <w:rFonts w:ascii="Cambria Math" w:hAnsi="Cambria Math"/>
        </w:rPr>
        <w:t>zálohová</w:t>
      </w:r>
      <w:proofErr w:type="spellEnd"/>
      <w:r w:rsidR="009B3332" w:rsidRPr="00C43D43">
        <w:rPr>
          <w:rFonts w:ascii="Cambria Math" w:hAnsi="Cambria Math"/>
        </w:rPr>
        <w:t xml:space="preserve">) do </w:t>
      </w:r>
      <w:r w:rsidR="006E0CC8">
        <w:rPr>
          <w:rFonts w:ascii="Cambria Math" w:hAnsi="Cambria Math"/>
          <w:b/>
        </w:rPr>
        <w:t xml:space="preserve">28. </w:t>
      </w:r>
      <w:proofErr w:type="gramStart"/>
      <w:r w:rsidR="006E0CC8">
        <w:rPr>
          <w:rFonts w:ascii="Cambria Math" w:hAnsi="Cambria Math"/>
          <w:b/>
        </w:rPr>
        <w:t>ú</w:t>
      </w:r>
      <w:r w:rsidR="009B3332" w:rsidRPr="00C43D43">
        <w:rPr>
          <w:rFonts w:ascii="Cambria Math" w:hAnsi="Cambria Math"/>
          <w:b/>
        </w:rPr>
        <w:t>n</w:t>
      </w:r>
      <w:r w:rsidR="006E0CC8">
        <w:rPr>
          <w:rFonts w:ascii="Cambria Math" w:hAnsi="Cambria Math"/>
          <w:b/>
        </w:rPr>
        <w:t>or</w:t>
      </w:r>
      <w:r w:rsidR="009B3332" w:rsidRPr="00C43D43">
        <w:rPr>
          <w:rFonts w:ascii="Cambria Math" w:hAnsi="Cambria Math"/>
          <w:b/>
        </w:rPr>
        <w:t>a</w:t>
      </w:r>
      <w:proofErr w:type="gramEnd"/>
      <w:r w:rsidR="009B3332" w:rsidRPr="00C43D43">
        <w:rPr>
          <w:rFonts w:ascii="Cambria Math" w:hAnsi="Cambria Math"/>
          <w:b/>
        </w:rPr>
        <w:t xml:space="preserve"> 202</w:t>
      </w:r>
      <w:r w:rsidR="00BD6676">
        <w:rPr>
          <w:rFonts w:ascii="Cambria Math" w:hAnsi="Cambria Math"/>
          <w:b/>
        </w:rPr>
        <w:t>2</w:t>
      </w:r>
      <w:r w:rsidR="006258D7">
        <w:rPr>
          <w:rFonts w:ascii="Cambria Math" w:hAnsi="Cambria Math"/>
          <w:b/>
        </w:rPr>
        <w:t xml:space="preserve">, </w:t>
      </w:r>
      <w:r w:rsidR="006258D7" w:rsidRPr="006258D7">
        <w:rPr>
          <w:rFonts w:ascii="Cambria Math" w:hAnsi="Cambria Math"/>
        </w:rPr>
        <w:t>ve výši</w:t>
      </w:r>
      <w:r w:rsidR="006258D7">
        <w:rPr>
          <w:rFonts w:ascii="Cambria Math" w:hAnsi="Cambria Math"/>
          <w:b/>
        </w:rPr>
        <w:t xml:space="preserve"> </w:t>
      </w:r>
      <w:r w:rsidR="008A7312">
        <w:rPr>
          <w:rFonts w:ascii="Cambria Math" w:hAnsi="Cambria Math"/>
          <w:b/>
        </w:rPr>
        <w:t>125</w:t>
      </w:r>
      <w:r w:rsidR="00853F33">
        <w:rPr>
          <w:rFonts w:ascii="Cambria Math" w:hAnsi="Cambria Math"/>
          <w:b/>
        </w:rPr>
        <w:t>.</w:t>
      </w:r>
      <w:r w:rsidR="008A7312">
        <w:rPr>
          <w:rFonts w:ascii="Cambria Math" w:hAnsi="Cambria Math"/>
          <w:b/>
        </w:rPr>
        <w:t>000</w:t>
      </w:r>
      <w:r w:rsidR="006258D7">
        <w:rPr>
          <w:rFonts w:ascii="Cambria Math" w:hAnsi="Cambria Math"/>
          <w:b/>
        </w:rPr>
        <w:t>,00 Kč</w:t>
      </w:r>
      <w:r w:rsidR="00853F33">
        <w:rPr>
          <w:rFonts w:ascii="Cambria Math" w:hAnsi="Cambria Math"/>
        </w:rPr>
        <w:t>.</w:t>
      </w:r>
    </w:p>
    <w:p w:rsidR="009B3332" w:rsidRPr="00C43D43" w:rsidRDefault="008A7312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>Druhá</w:t>
      </w:r>
      <w:r w:rsidR="00C43D43">
        <w:rPr>
          <w:rFonts w:ascii="Cambria Math" w:hAnsi="Cambria Math"/>
        </w:rPr>
        <w:t xml:space="preserve"> </w:t>
      </w:r>
      <w:proofErr w:type="spellStart"/>
      <w:r w:rsidR="009B3332" w:rsidRPr="00C43D43">
        <w:rPr>
          <w:rFonts w:ascii="Cambria Math" w:hAnsi="Cambria Math"/>
        </w:rPr>
        <w:t>splátka</w:t>
      </w:r>
      <w:proofErr w:type="spellEnd"/>
      <w:r w:rsidR="009B3332" w:rsidRPr="00C43D43">
        <w:rPr>
          <w:rFonts w:ascii="Cambria Math" w:hAnsi="Cambria Math"/>
        </w:rPr>
        <w:t xml:space="preserve"> </w:t>
      </w:r>
      <w:r w:rsidR="006258D7" w:rsidRPr="006258D7">
        <w:rPr>
          <w:rFonts w:ascii="Cambria Math" w:hAnsi="Cambria Math"/>
        </w:rPr>
        <w:t>ve výši</w:t>
      </w:r>
      <w:r w:rsidR="006258D7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80 000</w:t>
      </w:r>
      <w:proofErr w:type="gramStart"/>
      <w:r w:rsidR="006258D7">
        <w:rPr>
          <w:rFonts w:ascii="Cambria Math" w:hAnsi="Cambria Math"/>
          <w:b/>
        </w:rPr>
        <w:t>,00</w:t>
      </w:r>
      <w:proofErr w:type="gramEnd"/>
      <w:r w:rsidR="006258D7">
        <w:rPr>
          <w:rFonts w:ascii="Cambria Math" w:hAnsi="Cambria Math"/>
          <w:b/>
        </w:rPr>
        <w:t xml:space="preserve"> Kč</w:t>
      </w:r>
      <w:r w:rsidR="006258D7" w:rsidRPr="00C43D43">
        <w:rPr>
          <w:rFonts w:ascii="Cambria Math" w:hAnsi="Cambria Math"/>
        </w:rPr>
        <w:t xml:space="preserve"> </w:t>
      </w:r>
      <w:r w:rsidR="009B3332" w:rsidRPr="00C43D43">
        <w:rPr>
          <w:rFonts w:ascii="Cambria Math" w:hAnsi="Cambria Math"/>
        </w:rPr>
        <w:t xml:space="preserve">po předložení vyúčtování za I. </w:t>
      </w:r>
      <w:proofErr w:type="spellStart"/>
      <w:r>
        <w:rPr>
          <w:rFonts w:ascii="Cambria Math" w:hAnsi="Cambria Math"/>
        </w:rPr>
        <w:t>pololetí</w:t>
      </w:r>
      <w:proofErr w:type="spellEnd"/>
      <w:r w:rsidR="009B3332" w:rsidRPr="00C43D43">
        <w:rPr>
          <w:rFonts w:ascii="Cambria Math" w:hAnsi="Cambria Math"/>
        </w:rPr>
        <w:t xml:space="preserve"> roku 202</w:t>
      </w:r>
      <w:r w:rsidR="00BD6676">
        <w:rPr>
          <w:rFonts w:ascii="Cambria Math" w:hAnsi="Cambria Math"/>
        </w:rPr>
        <w:t>2</w:t>
      </w:r>
      <w:r w:rsidR="009B3332" w:rsidRPr="00C43D43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w:r w:rsidR="009B3332" w:rsidRPr="00C43D43">
        <w:rPr>
          <w:rFonts w:ascii="Cambria Math" w:hAnsi="Cambria Math"/>
        </w:rPr>
        <w:t xml:space="preserve">( mzdové náklady, </w:t>
      </w:r>
      <w:proofErr w:type="spellStart"/>
      <w:r w:rsidR="009B3332" w:rsidRPr="00C43D43">
        <w:rPr>
          <w:rFonts w:ascii="Cambria Math" w:hAnsi="Cambria Math"/>
        </w:rPr>
        <w:t>tržby</w:t>
      </w:r>
      <w:proofErr w:type="spellEnd"/>
      <w:r w:rsidR="009B3332" w:rsidRPr="00C43D43">
        <w:rPr>
          <w:rFonts w:ascii="Cambria Math" w:hAnsi="Cambria Math"/>
        </w:rPr>
        <w:t xml:space="preserve">) do </w:t>
      </w:r>
      <w:r w:rsidR="009B3332" w:rsidRPr="00C43D43">
        <w:rPr>
          <w:rFonts w:ascii="Cambria Math" w:hAnsi="Cambria Math"/>
          <w:b/>
        </w:rPr>
        <w:t xml:space="preserve">31. </w:t>
      </w:r>
      <w:proofErr w:type="gramStart"/>
      <w:r w:rsidR="009B3332" w:rsidRPr="00C43D43">
        <w:rPr>
          <w:rFonts w:ascii="Cambria Math" w:hAnsi="Cambria Math"/>
          <w:b/>
        </w:rPr>
        <w:t>července</w:t>
      </w:r>
      <w:proofErr w:type="gramEnd"/>
      <w:r w:rsidR="009B3332" w:rsidRPr="00C43D43">
        <w:rPr>
          <w:rFonts w:ascii="Cambria Math" w:hAnsi="Cambria Math"/>
          <w:b/>
        </w:rPr>
        <w:t xml:space="preserve"> 202</w:t>
      </w:r>
      <w:r w:rsidR="00BD6676">
        <w:rPr>
          <w:rFonts w:ascii="Cambria Math" w:hAnsi="Cambria Math"/>
          <w:b/>
        </w:rPr>
        <w:t>2</w:t>
      </w:r>
      <w:r w:rsidR="006258D7">
        <w:rPr>
          <w:rFonts w:ascii="Cambria Math" w:hAnsi="Cambria Math"/>
          <w:b/>
        </w:rPr>
        <w:t xml:space="preserve">, </w:t>
      </w:r>
      <w:proofErr w:type="spellStart"/>
      <w:r w:rsidR="006258D7" w:rsidRPr="006258D7">
        <w:rPr>
          <w:rFonts w:ascii="Cambria Math" w:hAnsi="Cambria Math"/>
        </w:rPr>
        <w:t>snížená</w:t>
      </w:r>
      <w:proofErr w:type="spellEnd"/>
      <w:r w:rsidR="006258D7" w:rsidRPr="006258D7">
        <w:rPr>
          <w:rFonts w:ascii="Cambria Math" w:hAnsi="Cambria Math"/>
        </w:rPr>
        <w:t xml:space="preserve"> o částku </w:t>
      </w:r>
      <w:proofErr w:type="spellStart"/>
      <w:r w:rsidR="006258D7" w:rsidRPr="006258D7">
        <w:rPr>
          <w:rFonts w:ascii="Cambria Math" w:hAnsi="Cambria Math"/>
        </w:rPr>
        <w:t>vyúčtovaného</w:t>
      </w:r>
      <w:proofErr w:type="spellEnd"/>
      <w:r w:rsidR="006258D7" w:rsidRPr="006258D7">
        <w:rPr>
          <w:rFonts w:ascii="Cambria Math" w:hAnsi="Cambria Math"/>
        </w:rPr>
        <w:t xml:space="preserve"> </w:t>
      </w:r>
      <w:proofErr w:type="spellStart"/>
      <w:r w:rsidR="006258D7" w:rsidRPr="006258D7">
        <w:rPr>
          <w:rFonts w:ascii="Cambria Math" w:hAnsi="Cambria Math"/>
        </w:rPr>
        <w:t>zisku</w:t>
      </w:r>
      <w:proofErr w:type="spellEnd"/>
      <w:r w:rsidR="006258D7" w:rsidRPr="006258D7">
        <w:rPr>
          <w:rFonts w:ascii="Cambria Math" w:hAnsi="Cambria Math"/>
        </w:rPr>
        <w:t xml:space="preserve"> za </w:t>
      </w:r>
      <w:r w:rsidR="006258D7">
        <w:rPr>
          <w:rFonts w:ascii="Cambria Math" w:hAnsi="Cambria Math"/>
        </w:rPr>
        <w:t>I</w:t>
      </w:r>
      <w:r w:rsidR="006258D7" w:rsidRPr="006258D7"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pololetí</w:t>
      </w:r>
      <w:proofErr w:type="spellEnd"/>
      <w:r w:rsidR="006258D7">
        <w:rPr>
          <w:rFonts w:ascii="Cambria Math" w:hAnsi="Cambria Math"/>
        </w:rPr>
        <w:t>;</w:t>
      </w:r>
    </w:p>
    <w:p w:rsidR="00BA7E96" w:rsidRPr="00BA7E96" w:rsidRDefault="00BA7E96" w:rsidP="00C43D43">
      <w:pPr>
        <w:spacing w:after="0" w:line="276" w:lineRule="auto"/>
        <w:ind w:left="567"/>
        <w:jc w:val="both"/>
        <w:rPr>
          <w:rFonts w:ascii="Cambria Math" w:hAnsi="Cambria Math"/>
          <w:b/>
        </w:rPr>
      </w:pPr>
      <w:r w:rsidRPr="00BA7E96">
        <w:rPr>
          <w:rFonts w:ascii="Cambria Math" w:hAnsi="Cambria Math"/>
        </w:rPr>
        <w:t xml:space="preserve">V případě </w:t>
      </w:r>
      <w:proofErr w:type="spellStart"/>
      <w:r>
        <w:rPr>
          <w:rFonts w:ascii="Cambria Math" w:hAnsi="Cambria Math"/>
        </w:rPr>
        <w:t>nedočerpání</w:t>
      </w:r>
      <w:proofErr w:type="spellEnd"/>
      <w:r>
        <w:rPr>
          <w:rFonts w:ascii="Cambria Math" w:hAnsi="Cambria Math"/>
        </w:rPr>
        <w:t xml:space="preserve"> celkové výše dotace bude příjemci </w:t>
      </w:r>
      <w:proofErr w:type="gramStart"/>
      <w:r>
        <w:rPr>
          <w:rFonts w:ascii="Cambria Math" w:hAnsi="Cambria Math"/>
        </w:rPr>
        <w:t>na</w:t>
      </w:r>
      <w:proofErr w:type="gramEnd"/>
      <w:r>
        <w:rPr>
          <w:rFonts w:ascii="Cambria Math" w:hAnsi="Cambria Math"/>
        </w:rPr>
        <w:t xml:space="preserve"> základě jeho žádosti </w:t>
      </w:r>
      <w:proofErr w:type="spellStart"/>
      <w:r>
        <w:rPr>
          <w:rFonts w:ascii="Cambria Math" w:hAnsi="Cambria Math"/>
        </w:rPr>
        <w:t>doplacena</w:t>
      </w:r>
      <w:proofErr w:type="spellEnd"/>
      <w:r>
        <w:rPr>
          <w:rFonts w:ascii="Cambria Math" w:hAnsi="Cambria Math"/>
        </w:rPr>
        <w:t xml:space="preserve"> částka do </w:t>
      </w:r>
      <w:proofErr w:type="spellStart"/>
      <w:r>
        <w:rPr>
          <w:rFonts w:ascii="Cambria Math" w:hAnsi="Cambria Math"/>
        </w:rPr>
        <w:t>maximální</w:t>
      </w:r>
      <w:proofErr w:type="spellEnd"/>
      <w:r>
        <w:rPr>
          <w:rFonts w:ascii="Cambria Math" w:hAnsi="Cambria Math"/>
        </w:rPr>
        <w:t xml:space="preserve"> výše </w:t>
      </w:r>
      <w:proofErr w:type="spellStart"/>
      <w:r>
        <w:rPr>
          <w:rFonts w:ascii="Cambria Math" w:hAnsi="Cambria Math"/>
        </w:rPr>
        <w:t>neinvestiční</w:t>
      </w:r>
      <w:proofErr w:type="spellEnd"/>
      <w:r>
        <w:rPr>
          <w:rFonts w:ascii="Cambria Math" w:hAnsi="Cambria Math"/>
        </w:rPr>
        <w:t xml:space="preserve"> dotace </w:t>
      </w:r>
      <w:proofErr w:type="spellStart"/>
      <w:r>
        <w:rPr>
          <w:rFonts w:ascii="Cambria Math" w:hAnsi="Cambria Math"/>
        </w:rPr>
        <w:t>do</w:t>
      </w:r>
      <w:proofErr w:type="spellEnd"/>
      <w:r>
        <w:rPr>
          <w:rFonts w:ascii="Cambria Math" w:hAnsi="Cambria Math"/>
        </w:rPr>
        <w:t xml:space="preserve"> </w:t>
      </w:r>
      <w:r>
        <w:rPr>
          <w:rFonts w:ascii="Cambria Math" w:hAnsi="Cambria Math"/>
          <w:b/>
        </w:rPr>
        <w:t xml:space="preserve">30. </w:t>
      </w:r>
      <w:proofErr w:type="gramStart"/>
      <w:r>
        <w:rPr>
          <w:rFonts w:ascii="Cambria Math" w:hAnsi="Cambria Math"/>
          <w:b/>
        </w:rPr>
        <w:t>listopadu</w:t>
      </w:r>
      <w:proofErr w:type="gramEnd"/>
      <w:r>
        <w:rPr>
          <w:rFonts w:ascii="Cambria Math" w:hAnsi="Cambria Math"/>
          <w:b/>
        </w:rPr>
        <w:t xml:space="preserve"> 202</w:t>
      </w:r>
      <w:r w:rsidR="00BD6676">
        <w:rPr>
          <w:rFonts w:ascii="Cambria Math" w:hAnsi="Cambria Math"/>
          <w:b/>
        </w:rPr>
        <w:t>2</w:t>
      </w:r>
      <w:r>
        <w:rPr>
          <w:rFonts w:ascii="Cambria Math" w:hAnsi="Cambria Math"/>
          <w:b/>
        </w:rPr>
        <w:t>.</w:t>
      </w:r>
    </w:p>
    <w:p w:rsidR="00C43D43" w:rsidRPr="00C43D43" w:rsidRDefault="00C43D43" w:rsidP="00C43D43">
      <w:pPr>
        <w:spacing w:after="0" w:line="276" w:lineRule="auto"/>
        <w:ind w:left="567"/>
        <w:jc w:val="both"/>
        <w:rPr>
          <w:rFonts w:ascii="Cambria Math" w:hAnsi="Cambria Math"/>
        </w:rPr>
      </w:pPr>
    </w:p>
    <w:p w:rsidR="000F7116" w:rsidRPr="00C43D43" w:rsidRDefault="000F7116" w:rsidP="000F7116">
      <w:pPr>
        <w:pStyle w:val="Odstavecseseznamem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Dotace se poskytuje </w:t>
      </w:r>
      <w:proofErr w:type="gramStart"/>
      <w:r w:rsidRPr="00C43D43">
        <w:rPr>
          <w:rFonts w:ascii="Cambria Math" w:hAnsi="Cambria Math"/>
        </w:rPr>
        <w:t>na</w:t>
      </w:r>
      <w:proofErr w:type="gramEnd"/>
      <w:r w:rsidRPr="00C43D43">
        <w:rPr>
          <w:rFonts w:ascii="Cambria Math" w:hAnsi="Cambria Math"/>
        </w:rPr>
        <w:t xml:space="preserve"> účel dle ustanovení článku I., odstavce 1) této smlouvy jako dotace </w:t>
      </w:r>
      <w:proofErr w:type="spellStart"/>
      <w:r w:rsidRPr="00C43D43">
        <w:rPr>
          <w:rFonts w:ascii="Cambria Math" w:hAnsi="Cambria Math"/>
          <w:b/>
        </w:rPr>
        <w:t>neinvestiční</w:t>
      </w:r>
      <w:proofErr w:type="spellEnd"/>
      <w:r w:rsidRPr="00C43D43">
        <w:rPr>
          <w:rFonts w:ascii="Cambria Math" w:hAnsi="Cambria Math"/>
        </w:rPr>
        <w:t>.</w:t>
      </w:r>
    </w:p>
    <w:p w:rsidR="000F7116" w:rsidRPr="00C43D43" w:rsidRDefault="000F7116" w:rsidP="000F7116">
      <w:pPr>
        <w:spacing w:after="0" w:line="276" w:lineRule="auto"/>
        <w:jc w:val="both"/>
        <w:rPr>
          <w:rFonts w:ascii="Cambria Math" w:hAnsi="Cambria Math"/>
        </w:rPr>
      </w:pPr>
    </w:p>
    <w:p w:rsidR="000F7116" w:rsidRPr="00C43D43" w:rsidRDefault="000F7116" w:rsidP="000F7116">
      <w:pPr>
        <w:spacing w:after="0" w:line="276" w:lineRule="auto"/>
        <w:jc w:val="center"/>
        <w:rPr>
          <w:rFonts w:ascii="Cambria Math" w:hAnsi="Cambria Math"/>
          <w:b/>
        </w:rPr>
      </w:pPr>
      <w:proofErr w:type="gramStart"/>
      <w:r w:rsidRPr="00C43D43">
        <w:rPr>
          <w:rFonts w:ascii="Cambria Math" w:hAnsi="Cambria Math"/>
          <w:b/>
        </w:rPr>
        <w:t>ČLÁNEK III.</w:t>
      </w:r>
      <w:proofErr w:type="gramEnd"/>
    </w:p>
    <w:p w:rsidR="000F7116" w:rsidRDefault="00321A78" w:rsidP="000F7116">
      <w:pPr>
        <w:pStyle w:val="Odstavecseseznamem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Příjemce dotace, TJ Vitčice </w:t>
      </w:r>
      <w:proofErr w:type="spellStart"/>
      <w:r w:rsidRPr="00C43D43">
        <w:rPr>
          <w:rFonts w:ascii="Cambria Math" w:hAnsi="Cambria Math"/>
        </w:rPr>
        <w:t>z.s</w:t>
      </w:r>
      <w:proofErr w:type="spellEnd"/>
      <w:r w:rsidRPr="00C43D43">
        <w:rPr>
          <w:rFonts w:ascii="Cambria Math" w:hAnsi="Cambria Math"/>
        </w:rPr>
        <w:t xml:space="preserve">., Vitčice č. p. 40, 798 27 Němčice </w:t>
      </w:r>
      <w:proofErr w:type="gramStart"/>
      <w:r w:rsidRPr="00C43D43">
        <w:rPr>
          <w:rFonts w:ascii="Cambria Math" w:hAnsi="Cambria Math"/>
        </w:rPr>
        <w:t>nad</w:t>
      </w:r>
      <w:proofErr w:type="gramEnd"/>
      <w:r w:rsidRPr="00C43D43">
        <w:rPr>
          <w:rFonts w:ascii="Cambria Math" w:hAnsi="Cambria Math"/>
        </w:rPr>
        <w:t xml:space="preserve"> Hanou se zavazuje použít </w:t>
      </w:r>
      <w:proofErr w:type="spellStart"/>
      <w:r w:rsidRPr="00C43D43">
        <w:rPr>
          <w:rFonts w:ascii="Cambria Math" w:hAnsi="Cambria Math"/>
        </w:rPr>
        <w:t>poskytnutou</w:t>
      </w:r>
      <w:proofErr w:type="spellEnd"/>
      <w:r w:rsidRPr="00C43D43">
        <w:rPr>
          <w:rFonts w:ascii="Cambria Math" w:hAnsi="Cambria Math"/>
        </w:rPr>
        <w:t xml:space="preserve"> dotaci na </w:t>
      </w:r>
      <w:proofErr w:type="spellStart"/>
      <w:r w:rsidRPr="00C43D43">
        <w:rPr>
          <w:rFonts w:ascii="Cambria Math" w:hAnsi="Cambria Math"/>
        </w:rPr>
        <w:t>úhradu</w:t>
      </w:r>
      <w:proofErr w:type="spellEnd"/>
      <w:r w:rsidRPr="00C43D43">
        <w:rPr>
          <w:rFonts w:ascii="Cambria Math" w:hAnsi="Cambria Math"/>
        </w:rPr>
        <w:t xml:space="preserve"> výše uvedených nákladů.</w:t>
      </w:r>
    </w:p>
    <w:p w:rsidR="00C43D43" w:rsidRPr="00C43D4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321A78" w:rsidRPr="00C43D43" w:rsidRDefault="00321A78" w:rsidP="000F7116">
      <w:pPr>
        <w:pStyle w:val="Odstavecseseznamem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O tom, jak bylo s </w:t>
      </w:r>
      <w:proofErr w:type="spellStart"/>
      <w:r w:rsidRPr="00C43D43">
        <w:rPr>
          <w:rFonts w:ascii="Cambria Math" w:hAnsi="Cambria Math"/>
        </w:rPr>
        <w:t>finančními</w:t>
      </w:r>
      <w:proofErr w:type="spellEnd"/>
      <w:r w:rsidRPr="00C43D43">
        <w:rPr>
          <w:rFonts w:ascii="Cambria Math" w:hAnsi="Cambria Math"/>
        </w:rPr>
        <w:t xml:space="preserve"> prostředky </w:t>
      </w:r>
      <w:proofErr w:type="spellStart"/>
      <w:r w:rsidRPr="00C43D43">
        <w:rPr>
          <w:rFonts w:ascii="Cambria Math" w:hAnsi="Cambria Math"/>
        </w:rPr>
        <w:t>naloženo</w:t>
      </w:r>
      <w:proofErr w:type="spellEnd"/>
      <w:r w:rsidRPr="00C43D43">
        <w:rPr>
          <w:rFonts w:ascii="Cambria Math" w:hAnsi="Cambria Math"/>
        </w:rPr>
        <w:t xml:space="preserve"> podá zprávu poskytovateli a předloží potřebné podklady nejpozději </w:t>
      </w:r>
      <w:proofErr w:type="spellStart"/>
      <w:r w:rsidRPr="00C43D43">
        <w:rPr>
          <w:rFonts w:ascii="Cambria Math" w:hAnsi="Cambria Math"/>
        </w:rPr>
        <w:t>do</w:t>
      </w:r>
      <w:proofErr w:type="spellEnd"/>
      <w:r w:rsidRPr="00C43D43">
        <w:rPr>
          <w:rFonts w:ascii="Cambria Math" w:hAnsi="Cambria Math"/>
        </w:rPr>
        <w:t xml:space="preserve"> </w:t>
      </w:r>
      <w:r w:rsidRPr="00C43D43">
        <w:rPr>
          <w:rFonts w:ascii="Cambria Math" w:hAnsi="Cambria Math"/>
          <w:b/>
        </w:rPr>
        <w:t xml:space="preserve">15. </w:t>
      </w:r>
      <w:proofErr w:type="gramStart"/>
      <w:r w:rsidRPr="00C43D43">
        <w:rPr>
          <w:rFonts w:ascii="Cambria Math" w:hAnsi="Cambria Math"/>
          <w:b/>
        </w:rPr>
        <w:t>února</w:t>
      </w:r>
      <w:proofErr w:type="gramEnd"/>
      <w:r w:rsidRPr="00C43D43">
        <w:rPr>
          <w:rFonts w:ascii="Cambria Math" w:hAnsi="Cambria Math"/>
          <w:b/>
        </w:rPr>
        <w:t xml:space="preserve"> 202</w:t>
      </w:r>
      <w:r w:rsidR="00BD6676">
        <w:rPr>
          <w:rFonts w:ascii="Cambria Math" w:hAnsi="Cambria Math"/>
          <w:b/>
        </w:rPr>
        <w:t>3</w:t>
      </w:r>
      <w:r w:rsidRPr="00C43D43">
        <w:rPr>
          <w:rFonts w:ascii="Cambria Math" w:hAnsi="Cambria Math"/>
          <w:b/>
        </w:rPr>
        <w:t>.</w:t>
      </w:r>
    </w:p>
    <w:p w:rsidR="00321A78" w:rsidRPr="00C43D43" w:rsidRDefault="00321A78" w:rsidP="00321A78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321A78" w:rsidRPr="006E0CC8" w:rsidRDefault="00321A78" w:rsidP="00321A78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  <w:proofErr w:type="spellStart"/>
      <w:r w:rsidRPr="006E0CC8">
        <w:rPr>
          <w:rFonts w:ascii="Cambria Math" w:hAnsi="Cambria Math"/>
          <w:b/>
          <w:u w:val="single"/>
        </w:rPr>
        <w:t>Zpráva</w:t>
      </w:r>
      <w:proofErr w:type="spellEnd"/>
      <w:r w:rsidRPr="006E0CC8">
        <w:rPr>
          <w:rFonts w:ascii="Cambria Math" w:hAnsi="Cambria Math"/>
          <w:b/>
          <w:u w:val="single"/>
        </w:rPr>
        <w:t xml:space="preserve"> bude obsahovat:</w:t>
      </w:r>
    </w:p>
    <w:p w:rsidR="00321A78" w:rsidRPr="008E61DD" w:rsidRDefault="00321A78" w:rsidP="00321A78">
      <w:pPr>
        <w:pStyle w:val="Odstavecseseznamem"/>
        <w:tabs>
          <w:tab w:val="left" w:pos="993"/>
        </w:tabs>
        <w:spacing w:after="0" w:line="276" w:lineRule="auto"/>
        <w:ind w:left="567"/>
        <w:jc w:val="both"/>
        <w:rPr>
          <w:rFonts w:ascii="Cambria Math" w:hAnsi="Cambria Math"/>
        </w:rPr>
      </w:pPr>
      <w:r w:rsidRPr="008E61DD">
        <w:rPr>
          <w:rFonts w:ascii="Cambria Math" w:hAnsi="Cambria Math"/>
        </w:rPr>
        <w:t xml:space="preserve">- </w:t>
      </w:r>
      <w:r w:rsidRPr="008E61DD">
        <w:rPr>
          <w:rFonts w:ascii="Cambria Math" w:hAnsi="Cambria Math"/>
        </w:rPr>
        <w:tab/>
      </w:r>
      <w:proofErr w:type="gramStart"/>
      <w:r w:rsidRPr="008E61DD">
        <w:rPr>
          <w:rFonts w:ascii="Cambria Math" w:hAnsi="Cambria Math"/>
        </w:rPr>
        <w:t>celkové</w:t>
      </w:r>
      <w:proofErr w:type="gramEnd"/>
      <w:r w:rsidRPr="008E61DD">
        <w:rPr>
          <w:rFonts w:ascii="Cambria Math" w:hAnsi="Cambria Math"/>
        </w:rPr>
        <w:t xml:space="preserve"> zhodnocení projekt</w:t>
      </w:r>
      <w:r w:rsidR="008E61DD" w:rsidRPr="008E61DD">
        <w:rPr>
          <w:rFonts w:ascii="Cambria Math" w:hAnsi="Cambria Math"/>
        </w:rPr>
        <w:t>u</w:t>
      </w:r>
      <w:r w:rsidRPr="008E61DD">
        <w:rPr>
          <w:rFonts w:ascii="Cambria Math" w:hAnsi="Cambria Math"/>
        </w:rPr>
        <w:t>;</w:t>
      </w:r>
    </w:p>
    <w:p w:rsidR="00321A78" w:rsidRPr="008E61DD" w:rsidRDefault="00321A78" w:rsidP="00CA0258">
      <w:pPr>
        <w:pStyle w:val="Odstavecseseznamem"/>
        <w:tabs>
          <w:tab w:val="left" w:pos="993"/>
        </w:tabs>
        <w:spacing w:after="0" w:line="276" w:lineRule="auto"/>
        <w:ind w:left="993" w:hanging="426"/>
        <w:jc w:val="both"/>
        <w:rPr>
          <w:rFonts w:ascii="Cambria Math" w:hAnsi="Cambria Math"/>
        </w:rPr>
      </w:pPr>
      <w:r w:rsidRPr="008E61DD">
        <w:rPr>
          <w:rFonts w:ascii="Cambria Math" w:hAnsi="Cambria Math"/>
        </w:rPr>
        <w:t>-</w:t>
      </w:r>
      <w:r w:rsidRPr="008E61DD">
        <w:rPr>
          <w:rFonts w:ascii="Cambria Math" w:hAnsi="Cambria Math"/>
        </w:rPr>
        <w:tab/>
      </w:r>
      <w:proofErr w:type="gramStart"/>
      <w:r w:rsidRPr="006E0CC8">
        <w:rPr>
          <w:rFonts w:ascii="Cambria Math" w:hAnsi="Cambria Math"/>
        </w:rPr>
        <w:t>výši</w:t>
      </w:r>
      <w:proofErr w:type="gramEnd"/>
      <w:r w:rsidRPr="006E0CC8">
        <w:rPr>
          <w:rFonts w:ascii="Cambria Math" w:hAnsi="Cambria Math"/>
        </w:rPr>
        <w:t xml:space="preserve"> </w:t>
      </w:r>
      <w:proofErr w:type="spellStart"/>
      <w:r w:rsidRPr="006E0CC8">
        <w:rPr>
          <w:rFonts w:ascii="Cambria Math" w:hAnsi="Cambria Math"/>
        </w:rPr>
        <w:t>celkových</w:t>
      </w:r>
      <w:proofErr w:type="spellEnd"/>
      <w:r w:rsidRPr="006E0CC8">
        <w:rPr>
          <w:rFonts w:ascii="Cambria Math" w:hAnsi="Cambria Math"/>
        </w:rPr>
        <w:t xml:space="preserve"> nákladů a </w:t>
      </w:r>
      <w:proofErr w:type="spellStart"/>
      <w:r w:rsidRPr="006E0CC8">
        <w:rPr>
          <w:rFonts w:ascii="Cambria Math" w:hAnsi="Cambria Math"/>
        </w:rPr>
        <w:t>výnosů</w:t>
      </w:r>
      <w:proofErr w:type="spellEnd"/>
      <w:r w:rsidRPr="006E0CC8">
        <w:rPr>
          <w:rFonts w:ascii="Cambria Math" w:hAnsi="Cambria Math"/>
        </w:rPr>
        <w:t xml:space="preserve"> (příjmů</w:t>
      </w:r>
      <w:r w:rsidR="00CA0258" w:rsidRPr="006E0CC8">
        <w:rPr>
          <w:rFonts w:ascii="Cambria Math" w:hAnsi="Cambria Math"/>
        </w:rPr>
        <w:t xml:space="preserve"> </w:t>
      </w:r>
      <w:r w:rsidR="006E0CC8" w:rsidRPr="006E0CC8">
        <w:rPr>
          <w:rFonts w:ascii="Cambria Math" w:hAnsi="Cambria Math"/>
        </w:rPr>
        <w:t>(</w:t>
      </w:r>
      <w:proofErr w:type="spellStart"/>
      <w:r w:rsidR="006E0CC8" w:rsidRPr="006E0CC8">
        <w:rPr>
          <w:rFonts w:ascii="Cambria Math" w:hAnsi="Cambria Math"/>
        </w:rPr>
        <w:t>tržeb</w:t>
      </w:r>
      <w:proofErr w:type="spellEnd"/>
      <w:r w:rsidR="006E0CC8" w:rsidRPr="006E0CC8">
        <w:rPr>
          <w:rFonts w:ascii="Cambria Math" w:hAnsi="Cambria Math"/>
        </w:rPr>
        <w:t xml:space="preserve">) </w:t>
      </w:r>
      <w:r w:rsidRPr="006E0CC8">
        <w:rPr>
          <w:rFonts w:ascii="Cambria Math" w:hAnsi="Cambria Math"/>
        </w:rPr>
        <w:t>a výdajů</w:t>
      </w:r>
      <w:r w:rsidR="00CA0258" w:rsidRPr="006E0CC8">
        <w:rPr>
          <w:rFonts w:ascii="Cambria Math" w:hAnsi="Cambria Math"/>
        </w:rPr>
        <w:t xml:space="preserve">- </w:t>
      </w:r>
      <w:r w:rsidR="006E0CC8" w:rsidRPr="006E0CC8">
        <w:rPr>
          <w:rFonts w:ascii="Cambria Math" w:hAnsi="Cambria Math"/>
        </w:rPr>
        <w:t xml:space="preserve">mzdové náklady, </w:t>
      </w:r>
      <w:proofErr w:type="spellStart"/>
      <w:r w:rsidR="006E0CC8" w:rsidRPr="006E0CC8">
        <w:rPr>
          <w:rFonts w:ascii="Cambria Math" w:hAnsi="Cambria Math"/>
        </w:rPr>
        <w:t>nákup</w:t>
      </w:r>
      <w:proofErr w:type="spellEnd"/>
      <w:r w:rsidR="006E0CC8" w:rsidRPr="006E0CC8">
        <w:rPr>
          <w:rFonts w:ascii="Cambria Math" w:hAnsi="Cambria Math"/>
        </w:rPr>
        <w:t xml:space="preserve"> zboží</w:t>
      </w:r>
      <w:r w:rsidRPr="006E0CC8">
        <w:rPr>
          <w:rFonts w:ascii="Cambria Math" w:hAnsi="Cambria Math"/>
        </w:rPr>
        <w:t xml:space="preserve">) </w:t>
      </w:r>
      <w:proofErr w:type="spellStart"/>
      <w:r w:rsidRPr="008E61DD">
        <w:rPr>
          <w:rFonts w:ascii="Cambria Math" w:hAnsi="Cambria Math"/>
        </w:rPr>
        <w:t>provozovatele</w:t>
      </w:r>
      <w:proofErr w:type="spellEnd"/>
      <w:r w:rsidRPr="008E61DD">
        <w:rPr>
          <w:rFonts w:ascii="Cambria Math" w:hAnsi="Cambria Math"/>
        </w:rPr>
        <w:t>;</w:t>
      </w:r>
    </w:p>
    <w:p w:rsidR="00321A78" w:rsidRPr="008E61DD" w:rsidRDefault="00321A78" w:rsidP="00321A78">
      <w:pPr>
        <w:pStyle w:val="Odstavecseseznamem"/>
        <w:tabs>
          <w:tab w:val="left" w:pos="993"/>
        </w:tabs>
        <w:spacing w:after="0" w:line="276" w:lineRule="auto"/>
        <w:ind w:left="567"/>
        <w:jc w:val="both"/>
        <w:rPr>
          <w:rFonts w:ascii="Cambria Math" w:hAnsi="Cambria Math"/>
        </w:rPr>
      </w:pPr>
      <w:r w:rsidRPr="008E61DD">
        <w:rPr>
          <w:rFonts w:ascii="Cambria Math" w:hAnsi="Cambria Math"/>
        </w:rPr>
        <w:t>-</w:t>
      </w:r>
      <w:r w:rsidRPr="008E61DD">
        <w:rPr>
          <w:rFonts w:ascii="Cambria Math" w:hAnsi="Cambria Math"/>
        </w:rPr>
        <w:tab/>
      </w:r>
      <w:proofErr w:type="gramStart"/>
      <w:r w:rsidRPr="008E61DD">
        <w:rPr>
          <w:rFonts w:ascii="Cambria Math" w:hAnsi="Cambria Math"/>
        </w:rPr>
        <w:t>dodržení</w:t>
      </w:r>
      <w:proofErr w:type="gramEnd"/>
      <w:r w:rsidRPr="008E61DD">
        <w:rPr>
          <w:rFonts w:ascii="Cambria Math" w:hAnsi="Cambria Math"/>
        </w:rPr>
        <w:t xml:space="preserve"> </w:t>
      </w:r>
      <w:proofErr w:type="spellStart"/>
      <w:r w:rsidRPr="008E61DD">
        <w:rPr>
          <w:rFonts w:ascii="Cambria Math" w:hAnsi="Cambria Math"/>
        </w:rPr>
        <w:t>účelovosti</w:t>
      </w:r>
      <w:proofErr w:type="spellEnd"/>
      <w:r w:rsidRPr="008E61DD">
        <w:rPr>
          <w:rFonts w:ascii="Cambria Math" w:hAnsi="Cambria Math"/>
        </w:rPr>
        <w:t xml:space="preserve"> projektu – účel na který byla dotace poskytnuta;</w:t>
      </w:r>
    </w:p>
    <w:p w:rsidR="00321A78" w:rsidRPr="008E61DD" w:rsidRDefault="00321A78" w:rsidP="00321A78">
      <w:pPr>
        <w:pStyle w:val="Odstavecseseznamem"/>
        <w:tabs>
          <w:tab w:val="left" w:pos="993"/>
        </w:tabs>
        <w:spacing w:after="0" w:line="276" w:lineRule="auto"/>
        <w:ind w:left="987" w:hanging="420"/>
        <w:jc w:val="both"/>
        <w:rPr>
          <w:rFonts w:ascii="Cambria Math" w:hAnsi="Cambria Math"/>
        </w:rPr>
      </w:pPr>
      <w:r w:rsidRPr="008E61DD">
        <w:rPr>
          <w:rFonts w:ascii="Cambria Math" w:hAnsi="Cambria Math"/>
        </w:rPr>
        <w:t>-</w:t>
      </w:r>
      <w:r w:rsidRPr="008E61DD">
        <w:rPr>
          <w:rFonts w:ascii="Cambria Math" w:hAnsi="Cambria Math"/>
        </w:rPr>
        <w:tab/>
      </w:r>
      <w:proofErr w:type="spellStart"/>
      <w:proofErr w:type="gramStart"/>
      <w:r w:rsidRPr="008E61DD">
        <w:rPr>
          <w:rFonts w:ascii="Cambria Math" w:hAnsi="Cambria Math"/>
        </w:rPr>
        <w:t>nedodržení</w:t>
      </w:r>
      <w:proofErr w:type="spellEnd"/>
      <w:proofErr w:type="gramEnd"/>
      <w:r w:rsidRPr="008E61DD">
        <w:rPr>
          <w:rFonts w:ascii="Cambria Math" w:hAnsi="Cambria Math"/>
        </w:rPr>
        <w:t xml:space="preserve"> termínu vyúčtování dotace je považováno za porušení podmínek dotace;</w:t>
      </w:r>
    </w:p>
    <w:p w:rsidR="00321A78" w:rsidRPr="00CA0258" w:rsidRDefault="00321A78" w:rsidP="00321A78">
      <w:pPr>
        <w:pStyle w:val="Odstavecseseznamem"/>
        <w:tabs>
          <w:tab w:val="left" w:pos="993"/>
        </w:tabs>
        <w:spacing w:after="0" w:line="276" w:lineRule="auto"/>
        <w:ind w:left="987" w:hanging="420"/>
        <w:jc w:val="both"/>
        <w:rPr>
          <w:rFonts w:ascii="Cambria Math" w:hAnsi="Cambria Math"/>
        </w:rPr>
      </w:pPr>
      <w:r w:rsidRPr="00CA0258">
        <w:rPr>
          <w:rFonts w:ascii="Cambria Math" w:hAnsi="Cambria Math"/>
        </w:rPr>
        <w:t>-</w:t>
      </w:r>
      <w:r w:rsidRPr="00CA0258">
        <w:rPr>
          <w:rFonts w:ascii="Cambria Math" w:hAnsi="Cambria Math"/>
        </w:rPr>
        <w:tab/>
      </w:r>
      <w:proofErr w:type="gramStart"/>
      <w:r w:rsidR="008E61DD" w:rsidRPr="00CA0258">
        <w:rPr>
          <w:rFonts w:ascii="Cambria Math" w:hAnsi="Cambria Math"/>
        </w:rPr>
        <w:t>přiznání</w:t>
      </w:r>
      <w:proofErr w:type="gramEnd"/>
      <w:r w:rsidR="008E61DD" w:rsidRPr="00CA0258">
        <w:rPr>
          <w:rFonts w:ascii="Cambria Math" w:hAnsi="Cambria Math"/>
        </w:rPr>
        <w:t xml:space="preserve"> k dani z příjmů PO za rok 2021; </w:t>
      </w:r>
    </w:p>
    <w:p w:rsidR="00321A78" w:rsidRPr="00CA0258" w:rsidRDefault="001607FA" w:rsidP="00321A78">
      <w:pPr>
        <w:pStyle w:val="Odstavecseseznamem"/>
        <w:tabs>
          <w:tab w:val="left" w:pos="993"/>
        </w:tabs>
        <w:spacing w:after="0" w:line="276" w:lineRule="auto"/>
        <w:ind w:left="987" w:hanging="420"/>
        <w:jc w:val="both"/>
        <w:rPr>
          <w:rFonts w:ascii="Cambria Math" w:hAnsi="Cambria Math"/>
        </w:rPr>
      </w:pPr>
      <w:r w:rsidRPr="00CA0258">
        <w:rPr>
          <w:rFonts w:ascii="Cambria Math" w:hAnsi="Cambria Math"/>
        </w:rPr>
        <w:t>-</w:t>
      </w:r>
      <w:r w:rsidRPr="00CA0258">
        <w:rPr>
          <w:rFonts w:ascii="Cambria Math" w:hAnsi="Cambria Math"/>
        </w:rPr>
        <w:tab/>
      </w:r>
      <w:proofErr w:type="gramStart"/>
      <w:r w:rsidRPr="00CA0258">
        <w:rPr>
          <w:rFonts w:ascii="Cambria Math" w:hAnsi="Cambria Math"/>
        </w:rPr>
        <w:t>přílohu</w:t>
      </w:r>
      <w:proofErr w:type="gramEnd"/>
      <w:r w:rsidRPr="00CA0258">
        <w:rPr>
          <w:rFonts w:ascii="Cambria Math" w:hAnsi="Cambria Math"/>
        </w:rPr>
        <w:t xml:space="preserve"> číslo 1 zprávy – Finanční vyúčtování dotace.</w:t>
      </w:r>
    </w:p>
    <w:p w:rsidR="001607FA" w:rsidRPr="00C43D43" w:rsidRDefault="001607FA" w:rsidP="00321A78">
      <w:pPr>
        <w:pStyle w:val="Odstavecseseznamem"/>
        <w:tabs>
          <w:tab w:val="left" w:pos="993"/>
        </w:tabs>
        <w:spacing w:after="0" w:line="276" w:lineRule="auto"/>
        <w:ind w:left="987" w:hanging="420"/>
        <w:jc w:val="both"/>
        <w:rPr>
          <w:rFonts w:ascii="Cambria Math" w:hAnsi="Cambria Math"/>
        </w:rPr>
      </w:pPr>
    </w:p>
    <w:p w:rsidR="001607FA" w:rsidRPr="00C43D43" w:rsidRDefault="001607FA" w:rsidP="001607FA">
      <w:pPr>
        <w:pStyle w:val="Odstavecseseznamem"/>
        <w:tabs>
          <w:tab w:val="left" w:pos="993"/>
        </w:tabs>
        <w:spacing w:after="0" w:line="276" w:lineRule="auto"/>
        <w:ind w:left="987" w:hanging="420"/>
        <w:jc w:val="center"/>
        <w:rPr>
          <w:rFonts w:ascii="Cambria Math" w:hAnsi="Cambria Math"/>
        </w:rPr>
      </w:pPr>
      <w:proofErr w:type="gramStart"/>
      <w:r w:rsidRPr="00C43D43">
        <w:rPr>
          <w:rFonts w:ascii="Cambria Math" w:hAnsi="Cambria Math"/>
          <w:b/>
        </w:rPr>
        <w:t>ČLÁNEK IV.</w:t>
      </w:r>
      <w:proofErr w:type="gramEnd"/>
    </w:p>
    <w:p w:rsidR="001607FA" w:rsidRDefault="001607FA" w:rsidP="001607FA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Dále příjemce souhlasí s </w:t>
      </w:r>
      <w:proofErr w:type="spellStart"/>
      <w:r w:rsidRPr="00C43D43">
        <w:rPr>
          <w:rFonts w:ascii="Cambria Math" w:hAnsi="Cambria Math"/>
        </w:rPr>
        <w:t>provedením</w:t>
      </w:r>
      <w:proofErr w:type="spellEnd"/>
      <w:r w:rsidRPr="00C43D43">
        <w:rPr>
          <w:rFonts w:ascii="Cambria Math" w:hAnsi="Cambria Math"/>
        </w:rPr>
        <w:t xml:space="preserve"> kontroly v souladu se zákonem číslo 320/2001 Sb., o finanční kontrole ve veřejné správě, ve znění pozdějších předpisů, </w:t>
      </w:r>
      <w:proofErr w:type="gramStart"/>
      <w:r w:rsidRPr="00C43D43">
        <w:rPr>
          <w:rFonts w:ascii="Cambria Math" w:hAnsi="Cambria Math"/>
        </w:rPr>
        <w:t>a</w:t>
      </w:r>
      <w:proofErr w:type="gramEnd"/>
      <w:r w:rsidRPr="00C43D43">
        <w:rPr>
          <w:rFonts w:ascii="Cambria Math" w:hAnsi="Cambria Math"/>
        </w:rPr>
        <w:t xml:space="preserve"> s </w:t>
      </w:r>
      <w:proofErr w:type="spellStart"/>
      <w:r w:rsidRPr="00C43D43">
        <w:rPr>
          <w:rFonts w:ascii="Cambria Math" w:hAnsi="Cambria Math"/>
        </w:rPr>
        <w:t>nahlédnutím</w:t>
      </w:r>
      <w:proofErr w:type="spellEnd"/>
      <w:r w:rsidRPr="00C43D43">
        <w:rPr>
          <w:rFonts w:ascii="Cambria Math" w:hAnsi="Cambria Math"/>
        </w:rPr>
        <w:t xml:space="preserve"> do účetnictví v rozsahu této dotace a v termínu určeném </w:t>
      </w:r>
      <w:proofErr w:type="spellStart"/>
      <w:r w:rsidRPr="00C43D43">
        <w:rPr>
          <w:rFonts w:ascii="Cambria Math" w:hAnsi="Cambria Math"/>
        </w:rPr>
        <w:t>poskytovatelem</w:t>
      </w:r>
      <w:proofErr w:type="spellEnd"/>
      <w:r w:rsidRPr="00C43D43">
        <w:rPr>
          <w:rFonts w:ascii="Cambria Math" w:hAnsi="Cambria Math"/>
        </w:rPr>
        <w:t xml:space="preserve"> dotace.</w:t>
      </w:r>
    </w:p>
    <w:p w:rsidR="00C43D43" w:rsidRPr="00C43D4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1607FA" w:rsidRDefault="001607FA" w:rsidP="001607FA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proofErr w:type="spellStart"/>
      <w:r w:rsidRPr="00C43D43">
        <w:rPr>
          <w:rFonts w:ascii="Cambria Math" w:hAnsi="Cambria Math"/>
        </w:rPr>
        <w:t>Poskytnutou</w:t>
      </w:r>
      <w:proofErr w:type="spellEnd"/>
      <w:r w:rsidRPr="00C43D43">
        <w:rPr>
          <w:rFonts w:ascii="Cambria Math" w:hAnsi="Cambria Math"/>
        </w:rPr>
        <w:t xml:space="preserve"> dotaci </w:t>
      </w:r>
      <w:proofErr w:type="spellStart"/>
      <w:r w:rsidRPr="00C43D43">
        <w:rPr>
          <w:rFonts w:ascii="Cambria Math" w:hAnsi="Cambria Math"/>
        </w:rPr>
        <w:t>zaúčtuje</w:t>
      </w:r>
      <w:proofErr w:type="spellEnd"/>
      <w:r w:rsidRPr="00C43D43">
        <w:rPr>
          <w:rFonts w:ascii="Cambria Math" w:hAnsi="Cambria Math"/>
        </w:rPr>
        <w:t xml:space="preserve"> příjemce samostatně </w:t>
      </w:r>
      <w:proofErr w:type="spellStart"/>
      <w:r w:rsidRPr="00C43D43">
        <w:rPr>
          <w:rFonts w:ascii="Cambria Math" w:hAnsi="Cambria Math"/>
        </w:rPr>
        <w:t>takovým</w:t>
      </w:r>
      <w:proofErr w:type="spellEnd"/>
      <w:r w:rsidRPr="00C43D43">
        <w:rPr>
          <w:rFonts w:ascii="Cambria Math" w:hAnsi="Cambria Math"/>
        </w:rPr>
        <w:t xml:space="preserve"> způsobem, aby bylo mo</w:t>
      </w:r>
      <w:r w:rsidR="0068377C">
        <w:rPr>
          <w:rFonts w:ascii="Cambria Math" w:hAnsi="Cambria Math"/>
        </w:rPr>
        <w:t xml:space="preserve">žné provést kontrolu a </w:t>
      </w:r>
      <w:proofErr w:type="spellStart"/>
      <w:r w:rsidR="0068377C">
        <w:rPr>
          <w:rFonts w:ascii="Cambria Math" w:hAnsi="Cambria Math"/>
        </w:rPr>
        <w:t>přiřazení</w:t>
      </w:r>
      <w:proofErr w:type="spellEnd"/>
      <w:r w:rsidRPr="00C43D43">
        <w:rPr>
          <w:rFonts w:ascii="Cambria Math" w:hAnsi="Cambria Math"/>
        </w:rPr>
        <w:t xml:space="preserve"> výdajů této dotace. Pokud žadatel (příjemce dotace) finanční prostředky </w:t>
      </w:r>
      <w:proofErr w:type="spellStart"/>
      <w:r w:rsidRPr="00C43D43">
        <w:rPr>
          <w:rFonts w:ascii="Cambria Math" w:hAnsi="Cambria Math"/>
        </w:rPr>
        <w:t>nevyčerpá</w:t>
      </w:r>
      <w:proofErr w:type="spellEnd"/>
      <w:r w:rsidRPr="00C43D43">
        <w:rPr>
          <w:rFonts w:ascii="Cambria Math" w:hAnsi="Cambria Math"/>
        </w:rPr>
        <w:t xml:space="preserve">, </w:t>
      </w:r>
      <w:proofErr w:type="spellStart"/>
      <w:r w:rsidRPr="00C43D43">
        <w:rPr>
          <w:rFonts w:ascii="Cambria Math" w:hAnsi="Cambria Math"/>
        </w:rPr>
        <w:t>vrátí</w:t>
      </w:r>
      <w:proofErr w:type="spellEnd"/>
      <w:r w:rsidRPr="00C43D43">
        <w:rPr>
          <w:rFonts w:ascii="Cambria Math" w:hAnsi="Cambria Math"/>
        </w:rPr>
        <w:t xml:space="preserve"> příjemci dotaci nebo její část </w:t>
      </w:r>
      <w:proofErr w:type="gramStart"/>
      <w:r w:rsidRPr="00C43D43">
        <w:rPr>
          <w:rFonts w:ascii="Cambria Math" w:hAnsi="Cambria Math"/>
        </w:rPr>
        <w:t>na</w:t>
      </w:r>
      <w:proofErr w:type="gramEnd"/>
      <w:r w:rsidRPr="00C43D43">
        <w:rPr>
          <w:rFonts w:ascii="Cambria Math" w:hAnsi="Cambria Math"/>
        </w:rPr>
        <w:t xml:space="preserve"> účet do patnácti dnů po vyúčtování dotace na účet poskytovatele dotace 21 325 701/0100.</w:t>
      </w:r>
    </w:p>
    <w:p w:rsidR="00C43D43" w:rsidRPr="00C43D43" w:rsidRDefault="00C43D43" w:rsidP="00C43D43">
      <w:pPr>
        <w:pStyle w:val="Odstavecseseznamem"/>
        <w:rPr>
          <w:rFonts w:ascii="Cambria Math" w:hAnsi="Cambria Math"/>
        </w:rPr>
      </w:pPr>
    </w:p>
    <w:p w:rsidR="0028693A" w:rsidRDefault="001607FA" w:rsidP="00C43D43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 Math" w:hAnsi="Cambria Math"/>
          <w:b/>
        </w:rPr>
      </w:pPr>
      <w:r w:rsidRPr="00C43D43">
        <w:rPr>
          <w:rFonts w:ascii="Cambria Math" w:hAnsi="Cambria Math"/>
          <w:b/>
        </w:rPr>
        <w:t xml:space="preserve">V případě porušení podmínek příjemce dotace je povinen dotaci vrátit </w:t>
      </w:r>
      <w:proofErr w:type="spellStart"/>
      <w:r w:rsidRPr="00C43D43">
        <w:rPr>
          <w:rFonts w:ascii="Cambria Math" w:hAnsi="Cambria Math"/>
          <w:b/>
        </w:rPr>
        <w:t>neprodleně</w:t>
      </w:r>
      <w:proofErr w:type="spellEnd"/>
      <w:r w:rsidRPr="00C43D43">
        <w:rPr>
          <w:rFonts w:ascii="Cambria Math" w:hAnsi="Cambria Math"/>
          <w:b/>
        </w:rPr>
        <w:t xml:space="preserve">, nejpozději v termínu vyúčtování dotace </w:t>
      </w:r>
      <w:proofErr w:type="gramStart"/>
      <w:r w:rsidRPr="00C43D43">
        <w:rPr>
          <w:rFonts w:ascii="Cambria Math" w:hAnsi="Cambria Math"/>
          <w:b/>
        </w:rPr>
        <w:t>na</w:t>
      </w:r>
      <w:proofErr w:type="gramEnd"/>
      <w:r w:rsidRPr="00C43D43">
        <w:rPr>
          <w:rFonts w:ascii="Cambria Math" w:hAnsi="Cambria Math"/>
          <w:b/>
        </w:rPr>
        <w:t xml:space="preserve"> účet poskytovatele</w:t>
      </w:r>
      <w:r w:rsidR="0028693A" w:rsidRPr="00C43D43">
        <w:rPr>
          <w:rFonts w:ascii="Cambria Math" w:hAnsi="Cambria Math"/>
          <w:b/>
        </w:rPr>
        <w:t xml:space="preserve"> 21 325 701/0100.</w:t>
      </w:r>
    </w:p>
    <w:p w:rsidR="00C43D43" w:rsidRPr="00C43D43" w:rsidRDefault="00C43D43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  <w:b/>
        </w:rPr>
      </w:pPr>
    </w:p>
    <w:p w:rsidR="0028693A" w:rsidRDefault="0028693A" w:rsidP="0028693A">
      <w:pPr>
        <w:pStyle w:val="Odstavecseseznamem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Za porušení rozpočtové kázně uloží poskytovatel příjemci dotace odvod ve výši stanovené platnými právními předpisy. V případech porušení rozpočtové kázně specifikovaných níže v tabulce uloží poskytovatel příjemci odvod ve výši stanovené v této tabulce </w:t>
      </w:r>
      <w:proofErr w:type="gramStart"/>
      <w:r w:rsidRPr="00C43D43">
        <w:rPr>
          <w:rFonts w:ascii="Cambria Math" w:hAnsi="Cambria Math"/>
        </w:rPr>
        <w:t>na</w:t>
      </w:r>
      <w:proofErr w:type="gramEnd"/>
      <w:r w:rsidRPr="00C43D43">
        <w:rPr>
          <w:rFonts w:ascii="Cambria Math" w:hAnsi="Cambria Math"/>
        </w:rPr>
        <w:t xml:space="preserve"> účet poskytovatele dotace 21 325 701/0100.</w:t>
      </w:r>
    </w:p>
    <w:p w:rsidR="00853F33" w:rsidRPr="00853F33" w:rsidRDefault="00853F33" w:rsidP="00853F33">
      <w:pPr>
        <w:pStyle w:val="Odstavecseseznamem"/>
        <w:rPr>
          <w:rFonts w:ascii="Cambria Math" w:hAnsi="Cambria Math"/>
        </w:rPr>
      </w:pPr>
    </w:p>
    <w:p w:rsidR="00853F33" w:rsidRPr="00853F33" w:rsidRDefault="00853F33" w:rsidP="00853F33">
      <w:pPr>
        <w:spacing w:after="0" w:line="276" w:lineRule="auto"/>
        <w:jc w:val="both"/>
        <w:rPr>
          <w:rFonts w:ascii="Cambria Math" w:hAnsi="Cambria Math"/>
        </w:rPr>
      </w:pPr>
    </w:p>
    <w:p w:rsidR="00FC2FD1" w:rsidRPr="00C43D43" w:rsidRDefault="00FC2FD1" w:rsidP="00FC2FD1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28693A" w:rsidRPr="00C43D43" w:rsidRDefault="0028693A" w:rsidP="00C43D43">
      <w:pPr>
        <w:pStyle w:val="Odstavecseseznamem"/>
        <w:spacing w:after="0" w:line="276" w:lineRule="auto"/>
        <w:ind w:left="567"/>
        <w:jc w:val="both"/>
        <w:rPr>
          <w:rFonts w:ascii="Cambria Math" w:hAnsi="Cambria Math"/>
          <w:sz w:val="16"/>
          <w:szCs w:val="16"/>
        </w:rPr>
      </w:pPr>
    </w:p>
    <w:tbl>
      <w:tblPr>
        <w:tblStyle w:val="Mkatabulky"/>
        <w:tblW w:w="0" w:type="auto"/>
        <w:tblInd w:w="567" w:type="dxa"/>
        <w:tblLook w:val="04A0"/>
      </w:tblPr>
      <w:tblGrid>
        <w:gridCol w:w="6487"/>
        <w:gridCol w:w="2234"/>
      </w:tblGrid>
      <w:tr w:rsidR="0028693A" w:rsidRPr="00C43D43" w:rsidTr="0028693A"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  <w:b/>
              </w:rPr>
            </w:pPr>
            <w:r w:rsidRPr="00C43D43">
              <w:rPr>
                <w:rFonts w:ascii="Cambria Math" w:hAnsi="Cambria Math"/>
                <w:b/>
              </w:rPr>
              <w:lastRenderedPageBreak/>
              <w:t>Typ porušení smluvních ujednání (procentní sazba bude v případě porušení jednotlivých ujednání uplatňována kumulativně)</w:t>
            </w:r>
          </w:p>
        </w:tc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  <w:b/>
              </w:rPr>
            </w:pPr>
            <w:r w:rsidRPr="00C43D43">
              <w:rPr>
                <w:rFonts w:ascii="Cambria Math" w:hAnsi="Cambria Math"/>
                <w:b/>
              </w:rPr>
              <w:t>Výše odvodu v % z celkově poskytnuté dotace</w:t>
            </w:r>
          </w:p>
        </w:tc>
      </w:tr>
      <w:tr w:rsidR="0028693A" w:rsidRPr="00C43D43" w:rsidTr="0028693A"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ind w:left="0"/>
              <w:jc w:val="both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 xml:space="preserve">Předložení vyúčtování a </w:t>
            </w:r>
            <w:proofErr w:type="spellStart"/>
            <w:r w:rsidRPr="00C43D43">
              <w:rPr>
                <w:rFonts w:ascii="Cambria Math" w:hAnsi="Cambria Math"/>
              </w:rPr>
              <w:t>závěrečné</w:t>
            </w:r>
            <w:proofErr w:type="spellEnd"/>
            <w:r w:rsidRPr="00C43D43">
              <w:rPr>
                <w:rFonts w:ascii="Cambria Math" w:hAnsi="Cambria Math"/>
              </w:rPr>
              <w:t xml:space="preserve"> zprávy o využití dotace s prodlením 30 kalendářních dnů od data uvedeného ve smlouvě</w:t>
            </w:r>
          </w:p>
        </w:tc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</w:rPr>
            </w:pPr>
          </w:p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center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>5%</w:t>
            </w:r>
          </w:p>
        </w:tc>
      </w:tr>
      <w:tr w:rsidR="0028693A" w:rsidRPr="00C43D43" w:rsidTr="0028693A"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 xml:space="preserve">Předložení doplněného vyúčtování a </w:t>
            </w:r>
            <w:proofErr w:type="spellStart"/>
            <w:r w:rsidRPr="00C43D43">
              <w:rPr>
                <w:rFonts w:ascii="Cambria Math" w:hAnsi="Cambria Math"/>
              </w:rPr>
              <w:t>závěrečné</w:t>
            </w:r>
            <w:proofErr w:type="spellEnd"/>
            <w:r w:rsidRPr="00C43D43">
              <w:rPr>
                <w:rFonts w:ascii="Cambria Math" w:hAnsi="Cambria Math"/>
              </w:rPr>
              <w:t xml:space="preserve"> zprávy o využití dotace s prodlením do 15 kalendářních dnů od marného uplynutí náhradní lhůty, uvedené ve výzvě k doplnění vyúčtování</w:t>
            </w:r>
          </w:p>
        </w:tc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</w:rPr>
            </w:pPr>
          </w:p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center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>5%</w:t>
            </w:r>
          </w:p>
        </w:tc>
      </w:tr>
      <w:tr w:rsidR="0028693A" w:rsidRPr="00C43D43" w:rsidTr="0028693A"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both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>Porušení povinnosti informovat poskytovatele o změnách</w:t>
            </w:r>
          </w:p>
        </w:tc>
        <w:tc>
          <w:tcPr>
            <w:tcW w:w="0" w:type="auto"/>
          </w:tcPr>
          <w:p w:rsidR="0028693A" w:rsidRPr="00C43D43" w:rsidRDefault="0028693A" w:rsidP="0028693A">
            <w:pPr>
              <w:pStyle w:val="Odstavecseseznamem"/>
              <w:spacing w:line="276" w:lineRule="auto"/>
              <w:ind w:left="0"/>
              <w:jc w:val="center"/>
              <w:rPr>
                <w:rFonts w:ascii="Cambria Math" w:hAnsi="Cambria Math"/>
              </w:rPr>
            </w:pPr>
            <w:r w:rsidRPr="00C43D43">
              <w:rPr>
                <w:rFonts w:ascii="Cambria Math" w:hAnsi="Cambria Math"/>
              </w:rPr>
              <w:t>5%</w:t>
            </w:r>
          </w:p>
        </w:tc>
      </w:tr>
    </w:tbl>
    <w:p w:rsidR="0028693A" w:rsidRPr="00C43D43" w:rsidRDefault="0028693A" w:rsidP="0028693A">
      <w:pPr>
        <w:pStyle w:val="Odstavecseseznamem"/>
        <w:spacing w:after="0" w:line="276" w:lineRule="auto"/>
        <w:ind w:left="567"/>
        <w:jc w:val="both"/>
        <w:rPr>
          <w:rFonts w:ascii="Cambria Math" w:hAnsi="Cambria Math"/>
        </w:rPr>
      </w:pPr>
    </w:p>
    <w:p w:rsidR="00321A78" w:rsidRPr="00C43D43" w:rsidRDefault="00321A78" w:rsidP="00321A78">
      <w:pPr>
        <w:tabs>
          <w:tab w:val="left" w:pos="993"/>
        </w:tabs>
        <w:spacing w:after="0" w:line="276" w:lineRule="auto"/>
        <w:jc w:val="both"/>
        <w:rPr>
          <w:rFonts w:ascii="Cambria Math" w:hAnsi="Cambria Math"/>
        </w:rPr>
      </w:pPr>
    </w:p>
    <w:p w:rsidR="009B3332" w:rsidRPr="00C43D43" w:rsidRDefault="00FE6C87" w:rsidP="00FE6C87">
      <w:pPr>
        <w:jc w:val="center"/>
        <w:rPr>
          <w:rFonts w:ascii="Cambria Math" w:hAnsi="Cambria Math"/>
          <w:b/>
        </w:rPr>
      </w:pPr>
      <w:proofErr w:type="gramStart"/>
      <w:r w:rsidRPr="00C43D43">
        <w:rPr>
          <w:rFonts w:ascii="Cambria Math" w:hAnsi="Cambria Math"/>
          <w:b/>
        </w:rPr>
        <w:t>ČLÁNEK V.</w:t>
      </w:r>
      <w:proofErr w:type="gramEnd"/>
    </w:p>
    <w:p w:rsidR="00FE6C87" w:rsidRDefault="00FE6C87" w:rsidP="00FE6C87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Smlouva se uzavírá v souladu s § 159 a následným zákona číslo 500/2004 Sb., správní řád, ve znění pozdějších právních předpisů a se zákonem číslo 250/2000 Sb., o rozpočtových pravidlech územních rozpočtů, ve znění pozdějších právních předpisů.</w:t>
      </w:r>
    </w:p>
    <w:p w:rsidR="00C43D43" w:rsidRPr="00C43D43" w:rsidRDefault="00C43D43" w:rsidP="00C43D43">
      <w:pPr>
        <w:pStyle w:val="Odstavecseseznamem"/>
        <w:spacing w:line="276" w:lineRule="auto"/>
        <w:ind w:left="567"/>
        <w:jc w:val="both"/>
        <w:rPr>
          <w:rFonts w:ascii="Cambria Math" w:hAnsi="Cambria Math"/>
        </w:rPr>
      </w:pPr>
    </w:p>
    <w:p w:rsidR="00C43D43" w:rsidRDefault="00FE6C87" w:rsidP="00C43D43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Tato smlouva je vyhotovena ve dvou stejnopisech z nichž každá smluvní strana obdrží jedno vyhotovení. Smlouva nabývá platností dnem podpisu obou smluvních stran.</w:t>
      </w:r>
    </w:p>
    <w:p w:rsidR="00C43D43" w:rsidRPr="00C43D43" w:rsidRDefault="00C43D43" w:rsidP="00C43D43">
      <w:pPr>
        <w:pStyle w:val="Odstavecseseznamem"/>
        <w:spacing w:line="276" w:lineRule="auto"/>
        <w:ind w:left="567"/>
        <w:jc w:val="both"/>
        <w:rPr>
          <w:rFonts w:ascii="Cambria Math" w:hAnsi="Cambria Math"/>
        </w:rPr>
      </w:pPr>
    </w:p>
    <w:p w:rsidR="00C43D43" w:rsidRDefault="00FE6C87" w:rsidP="00C43D43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Veškeré změny a doplňky této smlouvy jsou možné pouze písemnou formou se souhlasem obou smluvních stran. V případě </w:t>
      </w:r>
      <w:proofErr w:type="spellStart"/>
      <w:r w:rsidRPr="00C43D43">
        <w:rPr>
          <w:rFonts w:ascii="Cambria Math" w:hAnsi="Cambria Math"/>
        </w:rPr>
        <w:t>přeměny</w:t>
      </w:r>
      <w:proofErr w:type="spellEnd"/>
      <w:r w:rsidRPr="00C43D43">
        <w:rPr>
          <w:rFonts w:ascii="Cambria Math" w:hAnsi="Cambria Math"/>
        </w:rPr>
        <w:t xml:space="preserve"> nebo zrušení právnické osoby s likvidace </w:t>
      </w:r>
      <w:proofErr w:type="spellStart"/>
      <w:r w:rsidRPr="00C43D43">
        <w:rPr>
          <w:rFonts w:ascii="Cambria Math" w:hAnsi="Cambria Math"/>
        </w:rPr>
        <w:t>vzniká</w:t>
      </w:r>
      <w:proofErr w:type="spellEnd"/>
      <w:r w:rsidRPr="00C43D43">
        <w:rPr>
          <w:rFonts w:ascii="Cambria Math" w:hAnsi="Cambria Math"/>
        </w:rPr>
        <w:t xml:space="preserve"> příjemci dotace povinnost tuto skutečnost písemně </w:t>
      </w:r>
      <w:proofErr w:type="spellStart"/>
      <w:r w:rsidRPr="00C43D43">
        <w:rPr>
          <w:rFonts w:ascii="Cambria Math" w:hAnsi="Cambria Math"/>
        </w:rPr>
        <w:t>sdělit</w:t>
      </w:r>
      <w:proofErr w:type="spellEnd"/>
      <w:r w:rsidRPr="00C43D43">
        <w:rPr>
          <w:rFonts w:ascii="Cambria Math" w:hAnsi="Cambria Math"/>
        </w:rPr>
        <w:t xml:space="preserve"> do 15 dnů poskytovateli dotace.</w:t>
      </w:r>
    </w:p>
    <w:p w:rsidR="00C43D43" w:rsidRPr="00C43D43" w:rsidRDefault="00C43D43" w:rsidP="00C43D43">
      <w:pPr>
        <w:pStyle w:val="Odstavecseseznamem"/>
        <w:rPr>
          <w:rFonts w:ascii="Cambria Math" w:hAnsi="Cambria Math"/>
        </w:rPr>
      </w:pPr>
    </w:p>
    <w:p w:rsidR="00FE6C87" w:rsidRDefault="00FB186B" w:rsidP="00FE6C87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S</w:t>
      </w:r>
      <w:r w:rsidR="00FE6C87" w:rsidRPr="00C43D43">
        <w:rPr>
          <w:rFonts w:ascii="Cambria Math" w:hAnsi="Cambria Math"/>
        </w:rPr>
        <w:t>mluvní</w:t>
      </w:r>
      <w:r w:rsidRPr="00C43D43">
        <w:rPr>
          <w:rFonts w:ascii="Cambria Math" w:hAnsi="Cambria Math"/>
        </w:rPr>
        <w:t xml:space="preserve"> strany prohlašují, že souhlasí s případným zveřejněním textu této smlouvy v souladu se zákonem číslo 106/1999 Sb., o svobodném přístupu k informacím, ve znění pozdějších předpisů.</w:t>
      </w:r>
    </w:p>
    <w:p w:rsidR="00C43D43" w:rsidRPr="00C43D43" w:rsidRDefault="00C43D43" w:rsidP="00C43D43">
      <w:pPr>
        <w:pStyle w:val="Odstavecseseznamem"/>
        <w:rPr>
          <w:rFonts w:ascii="Cambria Math" w:hAnsi="Cambria Math"/>
        </w:rPr>
      </w:pPr>
    </w:p>
    <w:p w:rsidR="00FB186B" w:rsidRPr="00C43D43" w:rsidRDefault="00FB186B" w:rsidP="00FE6C87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Znění této smlouvy bylo schváleno usne</w:t>
      </w:r>
      <w:r w:rsidR="00FC2FD1">
        <w:rPr>
          <w:rFonts w:ascii="Cambria Math" w:hAnsi="Cambria Math"/>
        </w:rPr>
        <w:t xml:space="preserve">sením </w:t>
      </w:r>
      <w:proofErr w:type="spellStart"/>
      <w:r w:rsidR="00FC2FD1">
        <w:rPr>
          <w:rFonts w:ascii="Cambria Math" w:hAnsi="Cambria Math"/>
        </w:rPr>
        <w:t>zastupitelstva</w:t>
      </w:r>
      <w:proofErr w:type="spellEnd"/>
      <w:r w:rsidR="00FC2FD1">
        <w:rPr>
          <w:rFonts w:ascii="Cambria Math" w:hAnsi="Cambria Math"/>
        </w:rPr>
        <w:t xml:space="preserve"> obce číslo</w:t>
      </w:r>
      <w:r w:rsidR="00853F33">
        <w:rPr>
          <w:rFonts w:ascii="Cambria Math" w:hAnsi="Cambria Math"/>
        </w:rPr>
        <w:t xml:space="preserve"> 170</w:t>
      </w:r>
      <w:r w:rsidR="00BD6676">
        <w:rPr>
          <w:rFonts w:ascii="Cambria Math" w:hAnsi="Cambria Math"/>
        </w:rPr>
        <w:t xml:space="preserve"> </w:t>
      </w:r>
      <w:r w:rsidRPr="00C43D43">
        <w:rPr>
          <w:rFonts w:ascii="Cambria Math" w:hAnsi="Cambria Math"/>
        </w:rPr>
        <w:t xml:space="preserve">ze dne </w:t>
      </w:r>
      <w:r w:rsidR="00FC2FD1">
        <w:rPr>
          <w:rFonts w:ascii="Cambria Math" w:hAnsi="Cambria Math"/>
        </w:rPr>
        <w:t xml:space="preserve">30. </w:t>
      </w:r>
      <w:proofErr w:type="gramStart"/>
      <w:r w:rsidR="00FC2FD1">
        <w:rPr>
          <w:rFonts w:ascii="Cambria Math" w:hAnsi="Cambria Math"/>
        </w:rPr>
        <w:t>prosince</w:t>
      </w:r>
      <w:proofErr w:type="gramEnd"/>
      <w:r w:rsidR="00FC2FD1">
        <w:rPr>
          <w:rFonts w:ascii="Cambria Math" w:hAnsi="Cambria Math"/>
        </w:rPr>
        <w:t xml:space="preserve"> 202</w:t>
      </w:r>
      <w:r w:rsidR="00BD6676">
        <w:rPr>
          <w:rFonts w:ascii="Cambria Math" w:hAnsi="Cambria Math"/>
        </w:rPr>
        <w:t>1</w:t>
      </w:r>
      <w:r w:rsidR="00FC2FD1">
        <w:rPr>
          <w:rFonts w:ascii="Cambria Math" w:hAnsi="Cambria Math"/>
        </w:rPr>
        <w:t>.</w:t>
      </w:r>
    </w:p>
    <w:p w:rsidR="00FB186B" w:rsidRDefault="00FB186B" w:rsidP="00FB186B">
      <w:pPr>
        <w:spacing w:line="276" w:lineRule="auto"/>
        <w:jc w:val="both"/>
        <w:rPr>
          <w:rFonts w:ascii="Cambria Math" w:hAnsi="Cambria Math"/>
        </w:rPr>
      </w:pPr>
    </w:p>
    <w:p w:rsidR="00FC2FD1" w:rsidRPr="00C43D43" w:rsidRDefault="00FC2FD1" w:rsidP="00FB186B">
      <w:pPr>
        <w:spacing w:line="276" w:lineRule="auto"/>
        <w:jc w:val="both"/>
        <w:rPr>
          <w:rFonts w:ascii="Cambria Math" w:hAnsi="Cambria Math"/>
        </w:rPr>
      </w:pPr>
    </w:p>
    <w:p w:rsidR="00C43D43" w:rsidRPr="00C43D43" w:rsidRDefault="00FB186B" w:rsidP="00FB186B">
      <w:pPr>
        <w:spacing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>Ve Vitčicích, dne</w:t>
      </w:r>
      <w:r w:rsidR="006E0CC8">
        <w:rPr>
          <w:rFonts w:ascii="Cambria Math" w:hAnsi="Cambria Math"/>
        </w:rPr>
        <w:t xml:space="preserve"> </w:t>
      </w:r>
      <w:r w:rsidR="00853F33">
        <w:rPr>
          <w:rFonts w:ascii="Cambria Math" w:hAnsi="Cambria Math"/>
        </w:rPr>
        <w:t>20</w:t>
      </w:r>
      <w:r w:rsidR="00FC2FD1">
        <w:rPr>
          <w:rFonts w:ascii="Cambria Math" w:hAnsi="Cambria Math"/>
        </w:rPr>
        <w:t xml:space="preserve">. </w:t>
      </w:r>
      <w:proofErr w:type="gramStart"/>
      <w:r w:rsidR="006A7096">
        <w:rPr>
          <w:rFonts w:ascii="Cambria Math" w:hAnsi="Cambria Math"/>
        </w:rPr>
        <w:t>ledna</w:t>
      </w:r>
      <w:proofErr w:type="gramEnd"/>
      <w:r w:rsidR="006A7096">
        <w:rPr>
          <w:rFonts w:ascii="Cambria Math" w:hAnsi="Cambria Math"/>
        </w:rPr>
        <w:t xml:space="preserve"> 202</w:t>
      </w:r>
      <w:r w:rsidR="00BD6676">
        <w:rPr>
          <w:rFonts w:ascii="Cambria Math" w:hAnsi="Cambria Math"/>
        </w:rPr>
        <w:t>2</w:t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="009A785A">
        <w:rPr>
          <w:rFonts w:ascii="Cambria Math" w:hAnsi="Cambria Math"/>
        </w:rPr>
        <w:t xml:space="preserve">                       </w:t>
      </w:r>
      <w:r w:rsidRPr="00C43D43">
        <w:rPr>
          <w:rFonts w:ascii="Cambria Math" w:hAnsi="Cambria Math"/>
        </w:rPr>
        <w:t xml:space="preserve">Ve Vitčicích, dne </w:t>
      </w:r>
      <w:r w:rsidR="00853F33">
        <w:rPr>
          <w:rFonts w:ascii="Cambria Math" w:hAnsi="Cambria Math"/>
        </w:rPr>
        <w:t>20</w:t>
      </w:r>
      <w:r w:rsidR="00FC2FD1">
        <w:rPr>
          <w:rFonts w:ascii="Cambria Math" w:hAnsi="Cambria Math"/>
        </w:rPr>
        <w:t xml:space="preserve">. </w:t>
      </w:r>
      <w:r w:rsidR="006A7096">
        <w:rPr>
          <w:rFonts w:ascii="Cambria Math" w:hAnsi="Cambria Math"/>
        </w:rPr>
        <w:t>ledna 202</w:t>
      </w:r>
      <w:r w:rsidR="00BD6676">
        <w:rPr>
          <w:rFonts w:ascii="Cambria Math" w:hAnsi="Cambria Math"/>
        </w:rPr>
        <w:t>2</w:t>
      </w:r>
    </w:p>
    <w:p w:rsidR="00FB186B" w:rsidRDefault="00FB186B" w:rsidP="00FB186B">
      <w:pPr>
        <w:spacing w:line="276" w:lineRule="auto"/>
        <w:jc w:val="both"/>
        <w:rPr>
          <w:rFonts w:ascii="Cambria Math" w:hAnsi="Cambria Math"/>
        </w:rPr>
      </w:pPr>
    </w:p>
    <w:p w:rsidR="006A7096" w:rsidRDefault="006A7096" w:rsidP="00FB186B">
      <w:pPr>
        <w:spacing w:line="276" w:lineRule="auto"/>
        <w:jc w:val="both"/>
        <w:rPr>
          <w:rFonts w:ascii="Cambria Math" w:hAnsi="Cambria Math"/>
        </w:rPr>
      </w:pPr>
    </w:p>
    <w:p w:rsidR="006A7096" w:rsidRPr="00C43D43" w:rsidRDefault="006A7096" w:rsidP="00FB186B">
      <w:pPr>
        <w:spacing w:line="276" w:lineRule="auto"/>
        <w:jc w:val="both"/>
        <w:rPr>
          <w:rFonts w:ascii="Cambria Math" w:hAnsi="Cambria Math"/>
        </w:rPr>
      </w:pPr>
    </w:p>
    <w:p w:rsidR="00FB186B" w:rsidRPr="00C43D43" w:rsidRDefault="00FB186B" w:rsidP="00FB186B">
      <w:pPr>
        <w:spacing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___________________________________     </w:t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  <w:t xml:space="preserve">           ___________________________________</w:t>
      </w:r>
    </w:p>
    <w:p w:rsidR="00FB186B" w:rsidRDefault="00FB186B" w:rsidP="00FB186B">
      <w:pPr>
        <w:spacing w:line="276" w:lineRule="auto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             </w:t>
      </w:r>
      <w:proofErr w:type="gramStart"/>
      <w:r w:rsidRPr="00C43D43">
        <w:rPr>
          <w:rFonts w:ascii="Cambria Math" w:hAnsi="Cambria Math"/>
        </w:rPr>
        <w:t>za</w:t>
      </w:r>
      <w:proofErr w:type="gramEnd"/>
      <w:r w:rsidRPr="00C43D43">
        <w:rPr>
          <w:rFonts w:ascii="Cambria Math" w:hAnsi="Cambria Math"/>
        </w:rPr>
        <w:t xml:space="preserve"> poskytovatele</w:t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</w:r>
      <w:r w:rsidRPr="00C43D43">
        <w:rPr>
          <w:rFonts w:ascii="Cambria Math" w:hAnsi="Cambria Math"/>
        </w:rPr>
        <w:tab/>
        <w:t xml:space="preserve">               za příjemce</w:t>
      </w:r>
    </w:p>
    <w:p w:rsidR="00FC2FD1" w:rsidRDefault="00FC2FD1" w:rsidP="00FB186B">
      <w:pPr>
        <w:spacing w:line="276" w:lineRule="auto"/>
        <w:jc w:val="both"/>
        <w:rPr>
          <w:rFonts w:ascii="Cambria Math" w:hAnsi="Cambria Math"/>
        </w:rPr>
      </w:pPr>
    </w:p>
    <w:p w:rsidR="00853F33" w:rsidRPr="00C43D43" w:rsidRDefault="00853F33" w:rsidP="00FB186B">
      <w:pPr>
        <w:spacing w:line="276" w:lineRule="auto"/>
        <w:jc w:val="both"/>
        <w:rPr>
          <w:rFonts w:ascii="Cambria Math" w:hAnsi="Cambria Math"/>
        </w:rPr>
      </w:pPr>
    </w:p>
    <w:p w:rsidR="00E24810" w:rsidRDefault="00FB186B" w:rsidP="00E24810">
      <w:pPr>
        <w:spacing w:after="0" w:line="276" w:lineRule="auto"/>
        <w:jc w:val="both"/>
        <w:rPr>
          <w:rFonts w:ascii="Cambria Math" w:hAnsi="Cambria Math"/>
          <w:b/>
          <w:u w:val="single"/>
        </w:rPr>
      </w:pPr>
      <w:r w:rsidRPr="00C43D43">
        <w:rPr>
          <w:rFonts w:ascii="Cambria Math" w:hAnsi="Cambria Math"/>
          <w:b/>
          <w:u w:val="single"/>
        </w:rPr>
        <w:lastRenderedPageBreak/>
        <w:t>Finanční vyúčtování dotace</w:t>
      </w:r>
    </w:p>
    <w:p w:rsidR="008E61DD" w:rsidRPr="00C43D43" w:rsidRDefault="008E61DD" w:rsidP="00E24810">
      <w:pPr>
        <w:spacing w:after="0" w:line="276" w:lineRule="auto"/>
        <w:jc w:val="both"/>
        <w:rPr>
          <w:rFonts w:ascii="Cambria Math" w:hAnsi="Cambria Math"/>
          <w:b/>
          <w:u w:val="single"/>
        </w:rPr>
      </w:pPr>
    </w:p>
    <w:p w:rsidR="00A82FDF" w:rsidRPr="001E5EBC" w:rsidRDefault="00A82FDF" w:rsidP="00317250">
      <w:pPr>
        <w:spacing w:after="0" w:line="276" w:lineRule="auto"/>
        <w:jc w:val="both"/>
        <w:rPr>
          <w:rFonts w:ascii="Cambria Math" w:hAnsi="Cambria Math"/>
          <w:sz w:val="4"/>
          <w:szCs w:val="4"/>
        </w:rPr>
      </w:pPr>
    </w:p>
    <w:tbl>
      <w:tblPr>
        <w:tblStyle w:val="Mkatabulky"/>
        <w:tblW w:w="9322" w:type="dxa"/>
        <w:tblLook w:val="04A0"/>
      </w:tblPr>
      <w:tblGrid>
        <w:gridCol w:w="3964"/>
        <w:gridCol w:w="5358"/>
      </w:tblGrid>
      <w:tr w:rsidR="00D903C0" w:rsidRPr="001E5EBC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PŘÍJEMCE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(název)</w:t>
            </w:r>
          </w:p>
        </w:tc>
        <w:tc>
          <w:tcPr>
            <w:tcW w:w="5358" w:type="dxa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D903C0" w:rsidRPr="001E5EBC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Adresa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(sídlo)</w:t>
            </w:r>
          </w:p>
        </w:tc>
        <w:tc>
          <w:tcPr>
            <w:tcW w:w="5358" w:type="dxa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IČ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Veřejnoprávní smlouva, včetně případných 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dodatků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, na základě kterých byly </w:t>
            </w: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poskytnuty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</w:t>
            </w:r>
          </w:p>
          <w:p w:rsidR="00D903C0" w:rsidRP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</w:rPr>
            </w:pP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peněžní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prostředky číslo/ ze dne</w:t>
            </w: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Název akce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Celkové výdaje na akci</w:t>
            </w: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sz w:val="20"/>
                <w:szCs w:val="20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(v Kč)</w:t>
            </w: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>Výše dotace z rozpočtu obce</w:t>
            </w:r>
          </w:p>
          <w:p w:rsidR="00D903C0" w:rsidRP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(v Kč)</w:t>
            </w: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Nepoužité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</w:t>
            </w: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peněžní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prostředky k vrácení</w:t>
            </w:r>
          </w:p>
          <w:p w:rsidR="00D903C0" w:rsidRP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(v Kč)</w:t>
            </w: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Prostředky </w:t>
            </w: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vráceny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na účet obce dne</w:t>
            </w:r>
          </w:p>
          <w:p w:rsidR="00D903C0" w:rsidRP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12"/>
                <w:szCs w:val="12"/>
              </w:rPr>
            </w:pP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  <w:tr w:rsidR="00D903C0" w:rsidTr="006258D7">
        <w:tc>
          <w:tcPr>
            <w:tcW w:w="0" w:type="auto"/>
          </w:tcPr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8"/>
                <w:szCs w:val="8"/>
              </w:rPr>
            </w:pPr>
          </w:p>
          <w:p w:rsidR="00D903C0" w:rsidRPr="001E5EBC" w:rsidRDefault="00D903C0" w:rsidP="00381036">
            <w:pPr>
              <w:spacing w:line="276" w:lineRule="auto"/>
              <w:jc w:val="both"/>
              <w:rPr>
                <w:rFonts w:ascii="Cambria Math" w:hAnsi="Cambria Math"/>
                <w:b/>
                <w:sz w:val="20"/>
                <w:szCs w:val="20"/>
              </w:rPr>
            </w:pPr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Osoba </w:t>
            </w:r>
            <w:proofErr w:type="spellStart"/>
            <w:r w:rsidRPr="001E5EBC">
              <w:rPr>
                <w:rFonts w:ascii="Cambria Math" w:hAnsi="Cambria Math"/>
                <w:b/>
                <w:sz w:val="20"/>
                <w:szCs w:val="20"/>
              </w:rPr>
              <w:t>odpovědná</w:t>
            </w:r>
            <w:proofErr w:type="spellEnd"/>
            <w:r w:rsidRPr="001E5EBC">
              <w:rPr>
                <w:rFonts w:ascii="Cambria Math" w:hAnsi="Cambria Math"/>
                <w:b/>
                <w:sz w:val="20"/>
                <w:szCs w:val="20"/>
              </w:rPr>
              <w:t xml:space="preserve"> za vyúčtování dotace</w:t>
            </w:r>
          </w:p>
          <w:p w:rsidR="00D903C0" w:rsidRP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1E5EBC">
              <w:rPr>
                <w:rFonts w:ascii="Cambria Math" w:hAnsi="Cambria Math"/>
                <w:sz w:val="20"/>
                <w:szCs w:val="20"/>
              </w:rPr>
              <w:t>(jméno, příjmení,</w:t>
            </w:r>
            <w:r w:rsidR="001E5EBC" w:rsidRPr="001E5EBC">
              <w:rPr>
                <w:rFonts w:ascii="Cambria Math" w:hAnsi="Cambria Math"/>
                <w:sz w:val="20"/>
                <w:szCs w:val="20"/>
              </w:rPr>
              <w:t xml:space="preserve"> </w:t>
            </w:r>
            <w:r w:rsidRPr="001E5EBC">
              <w:rPr>
                <w:rFonts w:ascii="Cambria Math" w:hAnsi="Cambria Math"/>
                <w:sz w:val="20"/>
                <w:szCs w:val="20"/>
              </w:rPr>
              <w:t xml:space="preserve">funkce, adresa, </w:t>
            </w:r>
            <w:proofErr w:type="spellStart"/>
            <w:r w:rsidR="001E5EBC" w:rsidRPr="001E5EBC">
              <w:rPr>
                <w:rFonts w:ascii="Cambria Math" w:hAnsi="Cambria Math"/>
                <w:sz w:val="20"/>
                <w:szCs w:val="20"/>
              </w:rPr>
              <w:t>t</w:t>
            </w:r>
            <w:r w:rsidRPr="001E5EBC">
              <w:rPr>
                <w:rFonts w:ascii="Cambria Math" w:hAnsi="Cambria Math"/>
                <w:sz w:val="20"/>
                <w:szCs w:val="20"/>
              </w:rPr>
              <w:t>elefon</w:t>
            </w:r>
            <w:proofErr w:type="spellEnd"/>
            <w:r w:rsidRPr="001E5EBC">
              <w:rPr>
                <w:rFonts w:ascii="Cambria Math" w:hAnsi="Cambria Math"/>
                <w:sz w:val="20"/>
                <w:szCs w:val="20"/>
              </w:rPr>
              <w:t>)</w:t>
            </w:r>
          </w:p>
        </w:tc>
        <w:tc>
          <w:tcPr>
            <w:tcW w:w="5358" w:type="dxa"/>
          </w:tcPr>
          <w:p w:rsidR="00D903C0" w:rsidRDefault="00D903C0" w:rsidP="00381036">
            <w:pPr>
              <w:spacing w:line="276" w:lineRule="auto"/>
              <w:jc w:val="both"/>
              <w:rPr>
                <w:rFonts w:ascii="Cambria Math" w:hAnsi="Cambria Math"/>
              </w:rPr>
            </w:pPr>
          </w:p>
        </w:tc>
      </w:tr>
    </w:tbl>
    <w:p w:rsidR="00317250" w:rsidRPr="001E5EBC" w:rsidRDefault="00317250" w:rsidP="00381036">
      <w:pPr>
        <w:spacing w:after="0" w:line="276" w:lineRule="auto"/>
        <w:jc w:val="both"/>
        <w:rPr>
          <w:rFonts w:ascii="Cambria Math" w:hAnsi="Cambria Math"/>
          <w:sz w:val="12"/>
          <w:szCs w:val="12"/>
        </w:rPr>
      </w:pPr>
    </w:p>
    <w:p w:rsidR="001E5EBC" w:rsidRDefault="001E5EBC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8E61DD" w:rsidRPr="00C43D43" w:rsidRDefault="008E61DD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381036" w:rsidRDefault="001E5EBC" w:rsidP="00381036">
      <w:pPr>
        <w:spacing w:after="0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V ………………………………………….. </w:t>
      </w:r>
      <w:proofErr w:type="gramStart"/>
      <w:r w:rsidRPr="00C43D43">
        <w:rPr>
          <w:rFonts w:ascii="Cambria Math" w:hAnsi="Cambria Math"/>
        </w:rPr>
        <w:t>dne</w:t>
      </w:r>
      <w:proofErr w:type="gramEnd"/>
      <w:r w:rsidRPr="00C43D43">
        <w:rPr>
          <w:rFonts w:ascii="Cambria Math" w:hAnsi="Cambria Math"/>
        </w:rPr>
        <w:t>……………………………………</w:t>
      </w:r>
    </w:p>
    <w:p w:rsidR="008E61DD" w:rsidRDefault="008E61DD" w:rsidP="00381036">
      <w:pPr>
        <w:spacing w:after="0"/>
        <w:jc w:val="both"/>
        <w:rPr>
          <w:rFonts w:ascii="Cambria Math" w:hAnsi="Cambria Math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</w:rPr>
      </w:pPr>
    </w:p>
    <w:p w:rsidR="008E61DD" w:rsidRPr="00C43D43" w:rsidRDefault="008E61DD" w:rsidP="00381036">
      <w:pPr>
        <w:spacing w:after="0"/>
        <w:jc w:val="both"/>
        <w:rPr>
          <w:rFonts w:ascii="Cambria Math" w:hAnsi="Cambria Math"/>
        </w:rPr>
      </w:pPr>
    </w:p>
    <w:p w:rsidR="001E5EBC" w:rsidRPr="001E5EBC" w:rsidRDefault="001E5EBC" w:rsidP="00381036">
      <w:pPr>
        <w:spacing w:after="0"/>
        <w:jc w:val="both"/>
        <w:rPr>
          <w:rFonts w:ascii="Cambria Math" w:hAnsi="Cambria Math"/>
          <w:sz w:val="20"/>
          <w:szCs w:val="20"/>
        </w:rPr>
      </w:pPr>
    </w:p>
    <w:p w:rsidR="001E5EBC" w:rsidRDefault="001E5EBC" w:rsidP="00381036">
      <w:pPr>
        <w:spacing w:after="0"/>
        <w:jc w:val="both"/>
        <w:rPr>
          <w:rFonts w:ascii="Cambria Math" w:hAnsi="Cambria Math"/>
        </w:rPr>
      </w:pPr>
      <w:r w:rsidRPr="00C43D43">
        <w:rPr>
          <w:rFonts w:ascii="Cambria Math" w:hAnsi="Cambria Math"/>
        </w:rPr>
        <w:t xml:space="preserve">Jméno, příjmení a </w:t>
      </w:r>
      <w:proofErr w:type="spellStart"/>
      <w:r w:rsidRPr="00C43D43">
        <w:rPr>
          <w:rFonts w:ascii="Cambria Math" w:hAnsi="Cambria Math"/>
        </w:rPr>
        <w:t>podpis</w:t>
      </w:r>
      <w:proofErr w:type="spellEnd"/>
      <w:r w:rsidRPr="00C43D43">
        <w:rPr>
          <w:rFonts w:ascii="Cambria Math" w:hAnsi="Cambria Math"/>
        </w:rPr>
        <w:t xml:space="preserve"> osoby </w:t>
      </w:r>
      <w:proofErr w:type="spellStart"/>
      <w:r w:rsidRPr="00C43D43">
        <w:rPr>
          <w:rFonts w:ascii="Cambria Math" w:hAnsi="Cambria Math"/>
        </w:rPr>
        <w:t>odpovědné</w:t>
      </w:r>
      <w:proofErr w:type="spellEnd"/>
      <w:r w:rsidRPr="00C43D43">
        <w:rPr>
          <w:rFonts w:ascii="Cambria Math" w:hAnsi="Cambria Math"/>
        </w:rPr>
        <w:t xml:space="preserve"> za vyúčtování</w:t>
      </w:r>
    </w:p>
    <w:p w:rsidR="008E61DD" w:rsidRDefault="008E61DD" w:rsidP="00381036">
      <w:pPr>
        <w:spacing w:after="0"/>
        <w:jc w:val="both"/>
        <w:rPr>
          <w:rFonts w:ascii="Cambria Math" w:hAnsi="Cambria Math"/>
        </w:rPr>
      </w:pPr>
    </w:p>
    <w:p w:rsidR="008E61DD" w:rsidRDefault="008E61DD" w:rsidP="00381036">
      <w:pPr>
        <w:spacing w:after="0"/>
        <w:jc w:val="both"/>
        <w:rPr>
          <w:rFonts w:ascii="Cambria Math" w:hAnsi="Cambria Math"/>
        </w:rPr>
      </w:pPr>
    </w:p>
    <w:p w:rsidR="00C43D43" w:rsidRPr="00C43D43" w:rsidRDefault="00C43D43" w:rsidP="00381036">
      <w:pPr>
        <w:spacing w:after="0"/>
        <w:jc w:val="both"/>
        <w:rPr>
          <w:rFonts w:ascii="Cambria Math" w:hAnsi="Cambria Math"/>
          <w:sz w:val="14"/>
          <w:szCs w:val="14"/>
        </w:rPr>
      </w:pPr>
    </w:p>
    <w:p w:rsidR="001E5EBC" w:rsidRPr="0028693A" w:rsidRDefault="001E5EBC" w:rsidP="00381036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……………………………………………………………………………………………………</w:t>
      </w:r>
    </w:p>
    <w:sectPr w:rsidR="001E5EBC" w:rsidRPr="0028693A" w:rsidSect="00D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2C78"/>
    <w:multiLevelType w:val="hybridMultilevel"/>
    <w:tmpl w:val="76063C92"/>
    <w:lvl w:ilvl="0" w:tplc="9440C2D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84154F"/>
    <w:multiLevelType w:val="hybridMultilevel"/>
    <w:tmpl w:val="445E4B6A"/>
    <w:lvl w:ilvl="0" w:tplc="D4DA253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A754E2"/>
    <w:multiLevelType w:val="hybridMultilevel"/>
    <w:tmpl w:val="DA707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2D38"/>
    <w:multiLevelType w:val="hybridMultilevel"/>
    <w:tmpl w:val="71347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A161A"/>
    <w:multiLevelType w:val="hybridMultilevel"/>
    <w:tmpl w:val="D2ACB54E"/>
    <w:lvl w:ilvl="0" w:tplc="A6EC599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447"/>
    <w:multiLevelType w:val="hybridMultilevel"/>
    <w:tmpl w:val="AACE4576"/>
    <w:lvl w:ilvl="0" w:tplc="C8C0F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A82657"/>
    <w:multiLevelType w:val="hybridMultilevel"/>
    <w:tmpl w:val="A380F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956"/>
    <w:multiLevelType w:val="hybridMultilevel"/>
    <w:tmpl w:val="CE7CF126"/>
    <w:lvl w:ilvl="0" w:tplc="D93EC9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8FD2D6F"/>
    <w:multiLevelType w:val="hybridMultilevel"/>
    <w:tmpl w:val="E1E81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02DA7"/>
    <w:multiLevelType w:val="hybridMultilevel"/>
    <w:tmpl w:val="9376B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036"/>
    <w:rsid w:val="00000C80"/>
    <w:rsid w:val="000F7116"/>
    <w:rsid w:val="00144658"/>
    <w:rsid w:val="001607FA"/>
    <w:rsid w:val="001E583A"/>
    <w:rsid w:val="001E5EBC"/>
    <w:rsid w:val="00250254"/>
    <w:rsid w:val="0028693A"/>
    <w:rsid w:val="002F6B7C"/>
    <w:rsid w:val="00304ABF"/>
    <w:rsid w:val="003138D5"/>
    <w:rsid w:val="00317250"/>
    <w:rsid w:val="00321A78"/>
    <w:rsid w:val="00381036"/>
    <w:rsid w:val="003A2036"/>
    <w:rsid w:val="004860B1"/>
    <w:rsid w:val="00523338"/>
    <w:rsid w:val="006258D7"/>
    <w:rsid w:val="006425FE"/>
    <w:rsid w:val="0068377C"/>
    <w:rsid w:val="006A5F7D"/>
    <w:rsid w:val="006A7096"/>
    <w:rsid w:val="006E0CC8"/>
    <w:rsid w:val="006E2D49"/>
    <w:rsid w:val="006E4937"/>
    <w:rsid w:val="00811258"/>
    <w:rsid w:val="008166D6"/>
    <w:rsid w:val="00853F33"/>
    <w:rsid w:val="008A7312"/>
    <w:rsid w:val="008E61DD"/>
    <w:rsid w:val="009150AE"/>
    <w:rsid w:val="0095650B"/>
    <w:rsid w:val="009A66CD"/>
    <w:rsid w:val="009A785A"/>
    <w:rsid w:val="009B3332"/>
    <w:rsid w:val="009D7675"/>
    <w:rsid w:val="00A658CE"/>
    <w:rsid w:val="00A82FDF"/>
    <w:rsid w:val="00BA7E96"/>
    <w:rsid w:val="00BD6676"/>
    <w:rsid w:val="00C379DC"/>
    <w:rsid w:val="00C43D43"/>
    <w:rsid w:val="00CA0258"/>
    <w:rsid w:val="00CC37B9"/>
    <w:rsid w:val="00D32A3D"/>
    <w:rsid w:val="00D903C0"/>
    <w:rsid w:val="00DB038C"/>
    <w:rsid w:val="00DF0110"/>
    <w:rsid w:val="00E24810"/>
    <w:rsid w:val="00ED1B6E"/>
    <w:rsid w:val="00F13C32"/>
    <w:rsid w:val="00FB186B"/>
    <w:rsid w:val="00FC2FD1"/>
    <w:rsid w:val="00FE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3172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8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">
    <w:name w:val="Normální1"/>
    <w:basedOn w:val="Normln"/>
    <w:rsid w:val="00FB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vit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14</cp:revision>
  <cp:lastPrinted>2021-12-30T07:56:00Z</cp:lastPrinted>
  <dcterms:created xsi:type="dcterms:W3CDTF">2020-12-30T08:58:00Z</dcterms:created>
  <dcterms:modified xsi:type="dcterms:W3CDTF">2022-01-31T17:52:00Z</dcterms:modified>
</cp:coreProperties>
</file>