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F94803" w:rsidP="00F94803">
      <w:pPr>
        <w:spacing w:after="0"/>
        <w:jc w:val="center"/>
        <w:rPr>
          <w:rFonts w:ascii="Gentium Book Basic" w:hAnsi="Gentium Book Basic"/>
          <w:b/>
          <w:sz w:val="36"/>
          <w:szCs w:val="36"/>
        </w:rPr>
      </w:pPr>
      <w:r w:rsidRPr="00F94803">
        <w:rPr>
          <w:rFonts w:ascii="Gentium Book Basic" w:hAnsi="Gentium Book Basic"/>
          <w:b/>
          <w:sz w:val="36"/>
          <w:szCs w:val="36"/>
        </w:rPr>
        <w:t>VEŘEJNOPRÁVNÍ SMLOUVA</w:t>
      </w:r>
    </w:p>
    <w:p w:rsidR="00F94803" w:rsidRDefault="00F94803" w:rsidP="00F94803">
      <w:pPr>
        <w:spacing w:after="0"/>
        <w:jc w:val="center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o poskytnutí dotace</w:t>
      </w:r>
    </w:p>
    <w:p w:rsidR="00F94803" w:rsidRDefault="00F94803" w:rsidP="00F94803">
      <w:pPr>
        <w:spacing w:after="0"/>
        <w:jc w:val="center"/>
        <w:rPr>
          <w:rFonts w:ascii="Gentium Book Basic" w:hAnsi="Gentium Book Basic"/>
          <w:b/>
          <w:sz w:val="28"/>
          <w:szCs w:val="28"/>
        </w:rPr>
      </w:pP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Obec Vitčice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Vitčice č. p. 31; 798 27 Němčice nad Hanou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Zastoupená starostou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IČO: 00 600 091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Bankovní spojení: Komerční banka a.s.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Číslo účtu: 21 325 701/0100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 w:rsidRPr="00F94803">
        <w:rPr>
          <w:rFonts w:ascii="Gentium Book Basic" w:hAnsi="Gentium Book Basic"/>
          <w:i/>
          <w:sz w:val="24"/>
          <w:szCs w:val="24"/>
        </w:rPr>
        <w:t>(</w:t>
      </w:r>
      <w:r>
        <w:rPr>
          <w:rFonts w:ascii="Gentium Book Basic" w:hAnsi="Gentium Book Basic"/>
          <w:i/>
          <w:sz w:val="24"/>
          <w:szCs w:val="24"/>
        </w:rPr>
        <w:t>jako poskytovatele dotace)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a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Jméno, příjmení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Adresa bydliště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Zastoupen: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Datum narození: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Bankovní spojení: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Číslo účtu: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i/>
          <w:sz w:val="24"/>
          <w:szCs w:val="24"/>
        </w:rPr>
      </w:pPr>
      <w:r>
        <w:rPr>
          <w:rFonts w:ascii="Gentium Book Basic" w:hAnsi="Gentium Book Basic"/>
          <w:i/>
          <w:sz w:val="24"/>
          <w:szCs w:val="24"/>
        </w:rPr>
        <w:t>(jako příjemce dotace)</w:t>
      </w:r>
    </w:p>
    <w:p w:rsidR="00F94803" w:rsidRDefault="00F94803" w:rsidP="00F94803">
      <w:pPr>
        <w:spacing w:after="0"/>
        <w:jc w:val="both"/>
        <w:rPr>
          <w:rFonts w:ascii="Gentium Book Basic" w:hAnsi="Gentium Book Basic"/>
          <w:i/>
          <w:sz w:val="24"/>
          <w:szCs w:val="24"/>
        </w:rPr>
      </w:pPr>
    </w:p>
    <w:p w:rsidR="00F94803" w:rsidRDefault="00F94803" w:rsidP="00F9480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 xml:space="preserve">Uzavírají spolu na základě schváleného rozpočtu obce Vitčice na rok 2018 tuto </w:t>
      </w:r>
      <w:r w:rsidR="0049376A">
        <w:rPr>
          <w:rFonts w:ascii="Gentium Book Basic" w:hAnsi="Gentium Book Basic"/>
          <w:b/>
          <w:sz w:val="24"/>
          <w:szCs w:val="24"/>
        </w:rPr>
        <w:t>Veřejnoprávní smlouvu o poskytnutí dotace z Programu na poskytnutí dotace na demolici stavby s následnou výstavbou nového rodinného domu. Uzavření Veřejnoprávní smlouvy o poskytnutí dotace bylo schváleno zastupitelstvem obce Vitčice konaného dne     , usnesením číslo</w:t>
      </w:r>
    </w:p>
    <w:p w:rsidR="0049376A" w:rsidRDefault="0049376A" w:rsidP="00F9480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</w:p>
    <w:p w:rsidR="0049376A" w:rsidRDefault="0049376A" w:rsidP="00F9480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I.</w:t>
      </w:r>
    </w:p>
    <w:p w:rsidR="00926D6D" w:rsidRDefault="00926D6D" w:rsidP="00F94803">
      <w:pPr>
        <w:spacing w:after="0"/>
        <w:jc w:val="both"/>
        <w:rPr>
          <w:rFonts w:ascii="Gentium Book Basic" w:hAnsi="Gentium Book Basic"/>
          <w:b/>
          <w:sz w:val="24"/>
          <w:szCs w:val="24"/>
        </w:rPr>
      </w:pPr>
    </w:p>
    <w:p w:rsidR="0049376A" w:rsidRDefault="0049376A" w:rsidP="0049376A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Poskytovatel se na základě této smlouvy zavazuje poskytnout příjemci dotaci v rámci Programu na poskytnutí dotace na demolici stavby s následnou výstavbou nového rodinného domu </w:t>
      </w:r>
      <w:r>
        <w:rPr>
          <w:rFonts w:ascii="Gentium Book Basic" w:hAnsi="Gentium Book Basic"/>
          <w:b/>
          <w:sz w:val="24"/>
          <w:szCs w:val="24"/>
        </w:rPr>
        <w:t>ve výši ………….. Kč</w:t>
      </w:r>
      <w:r>
        <w:rPr>
          <w:rFonts w:ascii="Gentium Book Basic" w:hAnsi="Gentium Book Basic"/>
          <w:sz w:val="24"/>
          <w:szCs w:val="24"/>
        </w:rPr>
        <w:t xml:space="preserve"> (slovy:            ) za účelem podpory rozvoje bytového fondu obce Vitčice.</w:t>
      </w:r>
    </w:p>
    <w:p w:rsidR="0049376A" w:rsidRDefault="0049376A" w:rsidP="0049376A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Účelem poskytnutí dotace je částečná úhrada výdajů na demolici stavby parcelní číslo ………….., číslo popisné ……….. v katastrálním území Vitčice na Moravě a následnou výstavbu nového rodinného domu, s jehož užíváním bude vysloven souhlas příslušným stavebním úřadem dle právních předpisů, na místě původní stavby vznikne minimálně jedna bytová jednotka.</w:t>
      </w:r>
    </w:p>
    <w:p w:rsidR="00926D6D" w:rsidRDefault="0049376A" w:rsidP="0049376A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Dotace bude příjemci poskytnuta až po demolici, výstavbě nového rodinného domu na místě původní stavby a předložena dokladů o úhradě uznatelných nákladů ve výši 100 % z poskytnuté dotace v souladu s účelem dotace dle článku I., odstavce 2 této smlouvy. Dotace bude poskytnuta převodem na bankovní účet příjemce uvedeny v záhlaví této smlouvy do 10 dnů od schválení vyúčtování v zastupitelstvu obce</w:t>
      </w:r>
      <w:r w:rsidR="00926D6D">
        <w:rPr>
          <w:rFonts w:ascii="Gentium Book Basic" w:hAnsi="Gentium Book Basic"/>
          <w:sz w:val="24"/>
          <w:szCs w:val="24"/>
        </w:rPr>
        <w:t>, a to pouze v případě, že ve vyúčtování nebudou zjištěny nedostatky. Za den poskytnutí dotace se pro účely této smlouvy považují den odepsání finančních prostředků z účtu poskytovatele ve prospěch účtu příjemce.</w:t>
      </w:r>
    </w:p>
    <w:p w:rsidR="00926D6D" w:rsidRDefault="00926D6D" w:rsidP="0049376A">
      <w:pPr>
        <w:pStyle w:val="Odstavecseseznamem"/>
        <w:numPr>
          <w:ilvl w:val="0"/>
          <w:numId w:val="1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lastRenderedPageBreak/>
        <w:t>Dotace se poskytuje na účel stanovený v článku číslo I., odstavce 2 této smlouvy jako investiční.</w:t>
      </w:r>
    </w:p>
    <w:p w:rsidR="00926D6D" w:rsidRDefault="00926D6D" w:rsidP="00926D6D">
      <w:pPr>
        <w:pStyle w:val="Odstavecseseznamem"/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926D6D" w:rsidRDefault="00926D6D" w:rsidP="00926D6D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II.</w:t>
      </w:r>
    </w:p>
    <w:p w:rsidR="00926D6D" w:rsidRDefault="00926D6D" w:rsidP="00926D6D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926D6D" w:rsidRDefault="00926D6D" w:rsidP="00926D6D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Příjemce dotaci přijímá a zavazuje se ji použít výlučně v souladu s účelem poskytnutí dotace dle článku číslo I., odstavec 2 této smlouvy, v souladu s podmínkami stanovenými v této smlouvě v souladu s podmínkami Dotačního programu na poskytnutí dotace na demolici stavby s následnou výstavbou nového rodinného domu. Příjemce je oprávněn dotaci použít pouze na demolici stavby parcelní číslo …………., číslo popisné …….. v katastrálním území Vitčice na Moravě a následnou výstavbu nového rodinného domu, kde vznikne minimálně jedna bytová jednotka.</w:t>
      </w:r>
    </w:p>
    <w:p w:rsidR="00926D6D" w:rsidRDefault="00926D6D" w:rsidP="00926D6D">
      <w:pPr>
        <w:pStyle w:val="Odstavecseseznamem"/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Bez předchozího písemného souhlasu poskytovatele nesmí příjemce dotaci nebo její část poskytnout třetí osobě.</w:t>
      </w:r>
    </w:p>
    <w:p w:rsidR="00926D6D" w:rsidRDefault="00926D6D" w:rsidP="00926D6D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Prostředky dotace bude možné použít na uznatelné výdaje akce vzniklé od 1. března 2018 do data kolaudace objektu k bydlení.</w:t>
      </w:r>
    </w:p>
    <w:p w:rsidR="00926D6D" w:rsidRDefault="00926D6D" w:rsidP="00926D6D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Příjemce je povinen nejpozději do 6 let od podpisu smlouvy předložit poskytovatele vyúčtování poskytnuté dotace:</w:t>
      </w:r>
    </w:p>
    <w:p w:rsidR="00926D6D" w:rsidRDefault="00926D6D" w:rsidP="00926D6D">
      <w:pPr>
        <w:spacing w:after="0"/>
        <w:ind w:left="360"/>
        <w:jc w:val="both"/>
        <w:rPr>
          <w:rFonts w:ascii="Gentium Book Basic" w:hAnsi="Gentium Book Basic"/>
          <w:sz w:val="24"/>
          <w:szCs w:val="24"/>
        </w:rPr>
      </w:pPr>
    </w:p>
    <w:p w:rsidR="00926D6D" w:rsidRDefault="00926D6D" w:rsidP="00926D6D">
      <w:pPr>
        <w:spacing w:after="0"/>
        <w:ind w:left="36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Vyúčtování musí obsahovat:</w:t>
      </w:r>
    </w:p>
    <w:p w:rsidR="00926D6D" w:rsidRDefault="00926D6D" w:rsidP="00926D6D">
      <w:pPr>
        <w:spacing w:after="0"/>
        <w:ind w:left="360"/>
        <w:jc w:val="both"/>
        <w:rPr>
          <w:rFonts w:ascii="Gentium Book Basic" w:hAnsi="Gentium Book Basic"/>
          <w:sz w:val="24"/>
          <w:szCs w:val="24"/>
        </w:rPr>
      </w:pPr>
    </w:p>
    <w:p w:rsidR="00926D6D" w:rsidRDefault="0060181C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Kolaudační </w:t>
      </w:r>
      <w:r w:rsidR="00AE1ED7">
        <w:rPr>
          <w:rFonts w:ascii="Gentium Book Basic" w:hAnsi="Gentium Book Basic"/>
          <w:sz w:val="24"/>
          <w:szCs w:val="24"/>
        </w:rPr>
        <w:t>souhlas nebo oznámení o užívání nového rodinného domu (popř. jiný doklad stavebního úřadu vydaný v souladu s právními předpisy, jehož předmětem bude souhlas s užíváním rodinného domu, který je Předmětem dotace, k bydlení);</w:t>
      </w:r>
    </w:p>
    <w:p w:rsidR="00AE1ED7" w:rsidRDefault="00AE1ED7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Doklad o přihlášení minimálně 1 osoby k trvalému pobytu na adrese nového rodinného domu;</w:t>
      </w:r>
    </w:p>
    <w:p w:rsidR="00AE1ED7" w:rsidRDefault="00AE1ED7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Daňové a účetní doklady uznatelných nákladů (fotokopie účtenek, faktur, bankovních výpisů a dalších písemností a podkladů);</w:t>
      </w:r>
    </w:p>
    <w:p w:rsidR="00AE1ED7" w:rsidRDefault="00AE1ED7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Příloha číslo 1, Vyúčtování dotace od obce Vitčice na demolici stavby s následnou výstavbou nového rodinného domu;</w:t>
      </w:r>
    </w:p>
    <w:p w:rsidR="00AE1ED7" w:rsidRDefault="00AE1ED7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Vyúčtování bude svázáno tak, aby nebylo možné je zaměnit s jinými materiály;</w:t>
      </w:r>
    </w:p>
    <w:p w:rsidR="00AE1ED7" w:rsidRDefault="00AE1ED7" w:rsidP="00AE1ED7">
      <w:pPr>
        <w:pStyle w:val="Odstavecseseznamem"/>
        <w:numPr>
          <w:ilvl w:val="0"/>
          <w:numId w:val="3"/>
        </w:numPr>
        <w:spacing w:after="0"/>
        <w:ind w:left="1418" w:hanging="709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Nedodržení termínu vyúčtování dotace je považováno za porušení podmínek dotace.</w:t>
      </w:r>
    </w:p>
    <w:p w:rsidR="00AE1ED7" w:rsidRDefault="00AE1ED7" w:rsidP="00AE1ED7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4342C" w:rsidRDefault="00AE1ED7" w:rsidP="00AE1ED7">
      <w:pPr>
        <w:pStyle w:val="Odstavecseseznamem"/>
        <w:numPr>
          <w:ilvl w:val="0"/>
          <w:numId w:val="2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Pokud příjemce při demolici a následné výstavbě nového rodinného domu poruší některou z povinností uvedených v ustanovení článku číslo I., odstavcích 2 nebo 4, čláku II., odstavce 1, 2 a 3 nebo pokud uvede nepravdivé nebo neúplné údaje v předložených podkladech</w:t>
      </w:r>
      <w:r w:rsidR="00F4342C">
        <w:rPr>
          <w:rFonts w:ascii="Gentium Book Basic" w:hAnsi="Gentium Book Basic"/>
          <w:sz w:val="24"/>
          <w:szCs w:val="24"/>
        </w:rPr>
        <w:t>, je poskytovatel oprávněn dotaci nebo její část podle této smlouvy neposkytnout. Budou-li celkové skutečně vynaložené náklady nižší než 100 % dotace, bude dotace poměrně krácena.</w:t>
      </w: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III.</w:t>
      </w: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AE1ED7" w:rsidRDefault="00F4342C" w:rsidP="00F4342C">
      <w:pPr>
        <w:pStyle w:val="Odstavecseseznamem"/>
        <w:numPr>
          <w:ilvl w:val="0"/>
          <w:numId w:val="8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 přídadě zjištění závad ze strany poskytovatele v předloženém vyúčtování dotace bude příjemce spraven písemnou formou.</w:t>
      </w:r>
    </w:p>
    <w:p w:rsidR="00F4342C" w:rsidRDefault="00F4342C" w:rsidP="00F4342C">
      <w:pPr>
        <w:pStyle w:val="Odstavecseseznamem"/>
        <w:numPr>
          <w:ilvl w:val="0"/>
          <w:numId w:val="8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lastRenderedPageBreak/>
        <w:t>Za porušení rozpočtové kázně uloží poskytovatele příjemci dotace odvod ve výši stanovené platnými právními předpisy. V případech porušení rozpočtové kázně, specifikovaných níže v tabulce, uloží poskytovatele příjemci odvod ve výši stanovené v této tabulce na účet poskytovatele dotace: KB, a.s., číslo účtu 21 325 701/0100.</w:t>
      </w: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062"/>
        <w:gridCol w:w="3226"/>
      </w:tblGrid>
      <w:tr w:rsidR="00F4342C" w:rsidTr="00F4342C">
        <w:tc>
          <w:tcPr>
            <w:tcW w:w="6062" w:type="dxa"/>
          </w:tcPr>
          <w:p w:rsidR="00F4342C" w:rsidRPr="00F4342C" w:rsidRDefault="00F4342C" w:rsidP="00F4342C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Typ porušení smluvních ujednání (procentní sazba bude v případě porušení jednotlivých ujednání uplatňována kumulativně)</w:t>
            </w:r>
          </w:p>
        </w:tc>
        <w:tc>
          <w:tcPr>
            <w:tcW w:w="3226" w:type="dxa"/>
          </w:tcPr>
          <w:p w:rsidR="00F4342C" w:rsidRPr="00F4342C" w:rsidRDefault="00F4342C" w:rsidP="00F4342C">
            <w:pPr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F4342C">
              <w:rPr>
                <w:rFonts w:ascii="Gentium Book Basic" w:hAnsi="Gentium Book Basic"/>
                <w:b/>
                <w:sz w:val="24"/>
                <w:szCs w:val="24"/>
              </w:rPr>
              <w:t xml:space="preserve">Výše </w:t>
            </w:r>
            <w:r>
              <w:rPr>
                <w:rFonts w:ascii="Gentium Book Basic" w:hAnsi="Gentium Book Basic"/>
                <w:b/>
                <w:sz w:val="24"/>
                <w:szCs w:val="24"/>
              </w:rPr>
              <w:t>odvodu v % z celkově poskytnuté dotace</w:t>
            </w:r>
          </w:p>
        </w:tc>
      </w:tr>
      <w:tr w:rsidR="00F4342C" w:rsidTr="00F4342C">
        <w:tc>
          <w:tcPr>
            <w:tcW w:w="6062" w:type="dxa"/>
          </w:tcPr>
          <w:p w:rsidR="00F4342C" w:rsidRDefault="00F4342C" w:rsidP="00F4342C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Předložení doplněného vyúčtování o využití dotace s prodlením do 30 kalendářních dnů od marného uplynutí náhradní lhůty, uvedené ve výzvě k doplnění vyúčtování</w:t>
            </w:r>
          </w:p>
        </w:tc>
        <w:tc>
          <w:tcPr>
            <w:tcW w:w="3226" w:type="dxa"/>
          </w:tcPr>
          <w:p w:rsidR="00F4342C" w:rsidRDefault="00F4342C" w:rsidP="00F4342C">
            <w:pPr>
              <w:jc w:val="center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5 %</w:t>
            </w:r>
          </w:p>
        </w:tc>
      </w:tr>
      <w:tr w:rsidR="00F4342C" w:rsidTr="00F4342C">
        <w:tc>
          <w:tcPr>
            <w:tcW w:w="6062" w:type="dxa"/>
          </w:tcPr>
          <w:p w:rsidR="00F4342C" w:rsidRDefault="00F4342C" w:rsidP="00F4342C">
            <w:pPr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Porušení povinnosti informovat poskytovatele o změnách</w:t>
            </w:r>
          </w:p>
        </w:tc>
        <w:tc>
          <w:tcPr>
            <w:tcW w:w="3226" w:type="dxa"/>
          </w:tcPr>
          <w:p w:rsidR="00F4342C" w:rsidRDefault="00F4342C" w:rsidP="00F4342C">
            <w:pPr>
              <w:jc w:val="center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5 %</w:t>
            </w:r>
          </w:p>
        </w:tc>
      </w:tr>
    </w:tbl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IV.</w:t>
      </w:r>
    </w:p>
    <w:p w:rsidR="00F4342C" w:rsidRDefault="00F4342C" w:rsidP="00F4342C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F4342C" w:rsidP="00F4342C">
      <w:pPr>
        <w:pStyle w:val="Odstavecseseznamem"/>
        <w:numPr>
          <w:ilvl w:val="0"/>
          <w:numId w:val="9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Dotace je ve smyslu zákona číslo 320/2002 Sb., o finanční kontrole</w:t>
      </w:r>
      <w:r w:rsidR="00824333">
        <w:rPr>
          <w:rFonts w:ascii="Gentium Book Basic" w:hAnsi="Gentium Book Basic"/>
          <w:sz w:val="24"/>
          <w:szCs w:val="24"/>
        </w:rPr>
        <w:t xml:space="preserve"> ve veřejném správě a o změně některých zákonů (zákon o finanční kontrole) veřejnou finanční podporou a vztahují se na ni všechna ustanovení tohoto zákona. Podle ustanovení zákona o finanční kontrole, zákona číslo 128/200 Sb., o rozpočtových pravidlech územních rozpočtů, je příjemce povinen umožnit poskytovateli kdykoliv kontrolovat dodržení podmínek, za kterých byla dotace poskytnuta, po dobu 5 let od ukončení financování ze strany </w:t>
      </w:r>
      <w:r w:rsidR="00F525FD">
        <w:rPr>
          <w:rFonts w:ascii="Gentium Book Basic" w:hAnsi="Gentium Book Basic"/>
          <w:sz w:val="24"/>
          <w:szCs w:val="24"/>
        </w:rPr>
        <w:t>poskytovatele.</w:t>
      </w:r>
      <w:r w:rsidR="00824333">
        <w:rPr>
          <w:rFonts w:ascii="Gentium Book Basic" w:hAnsi="Gentium Book Basic"/>
          <w:sz w:val="24"/>
          <w:szCs w:val="24"/>
        </w:rPr>
        <w:t xml:space="preserve"> Příjemce se zavazuje poskytnout součinnosti při výkonu kontrolní činnosti dle tohoto ustanovení, zejména předložit kontrolním orgánům poskytovatele kdykoliv k nahlédnutí originály všech účetních dokladů prokazujících vznik uznatelných výdajů a využití prostředků v souladu s účelem dotace.</w:t>
      </w:r>
    </w:p>
    <w:p w:rsidR="00824333" w:rsidRDefault="00824333" w:rsidP="00F4342C">
      <w:pPr>
        <w:pStyle w:val="Odstavecseseznamem"/>
        <w:numPr>
          <w:ilvl w:val="0"/>
          <w:numId w:val="9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Smlouva se uzavírá v souladu s § 159 a následným, zákona číslo 500/2004 Sb., správní řád, ve znění pozdějších právních předpisů a se zákonem číslo 250/2000 Sb., o rozpočtových pravidlech územních rozpočtů, ve znění pozdějších předpisů;</w:t>
      </w:r>
    </w:p>
    <w:p w:rsidR="00824333" w:rsidRDefault="00824333" w:rsidP="00F4342C">
      <w:pPr>
        <w:pStyle w:val="Odstavecseseznamem"/>
        <w:numPr>
          <w:ilvl w:val="0"/>
          <w:numId w:val="9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Tato smlouva je vyhotovena ve dvou stejnopisech z nichž každá ze smluvních stran obdrží jedno vyhotovení. Smlouva nabývá platností dnem podpisu obou smluvních stran.</w:t>
      </w:r>
    </w:p>
    <w:p w:rsidR="00824333" w:rsidRDefault="00824333" w:rsidP="00F4342C">
      <w:pPr>
        <w:pStyle w:val="Odstavecseseznamem"/>
        <w:numPr>
          <w:ilvl w:val="0"/>
          <w:numId w:val="9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Veškeré změny a doplňky této smlouvy jsou možné pouze písemnou formou se souhlasem obou smluvních stran.</w:t>
      </w:r>
    </w:p>
    <w:p w:rsidR="00824333" w:rsidRDefault="00824333" w:rsidP="00F4342C">
      <w:pPr>
        <w:pStyle w:val="Odstavecseseznamem"/>
        <w:numPr>
          <w:ilvl w:val="0"/>
          <w:numId w:val="9"/>
        </w:num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Smluvní strany prohlašují, že souhlasí s případným zveřejněním textu této smlouvy v souladu se zákonem číslo 106/1999 Sb., o svobodném přístupu k informacím, ve znění pozdějších předpisů.</w:t>
      </w: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4342C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Ve Vitčicích, dne                                                                Ve Vitčicích, dne</w:t>
      </w:r>
      <w:r w:rsidRPr="00824333">
        <w:rPr>
          <w:rFonts w:ascii="Gentium Book Basic" w:hAnsi="Gentium Book Basic"/>
          <w:sz w:val="24"/>
          <w:szCs w:val="24"/>
        </w:rPr>
        <w:t xml:space="preserve"> </w:t>
      </w: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__________________________</w:t>
      </w:r>
      <w:r w:rsidR="00F525FD">
        <w:rPr>
          <w:rFonts w:ascii="Gentium Book Basic" w:hAnsi="Gentium Book Basic"/>
          <w:sz w:val="24"/>
          <w:szCs w:val="24"/>
        </w:rPr>
        <w:t xml:space="preserve">                                                         __________________________</w:t>
      </w:r>
    </w:p>
    <w:p w:rsidR="00824333" w:rsidRPr="00824333" w:rsidRDefault="00824333" w:rsidP="00824333">
      <w:pPr>
        <w:spacing w:after="0"/>
        <w:jc w:val="both"/>
        <w:rPr>
          <w:rFonts w:ascii="Gentium Book Basic" w:hAnsi="Gentium Book Basic"/>
          <w:sz w:val="24"/>
          <w:szCs w:val="24"/>
        </w:rPr>
      </w:pPr>
    </w:p>
    <w:p w:rsidR="00F4342C" w:rsidRPr="00F4342C" w:rsidRDefault="00F525FD" w:rsidP="00F4342C">
      <w:pPr>
        <w:pStyle w:val="Odstavecseseznamem"/>
        <w:spacing w:after="0"/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Příjemce dotace                                                                   Poskytovatel dotace</w:t>
      </w:r>
    </w:p>
    <w:sectPr w:rsidR="00F4342C" w:rsidRPr="00F4342C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5.25pt" o:bullet="t">
        <v:imagedata r:id="rId1" o:title="BD21314_"/>
      </v:shape>
    </w:pict>
  </w:numPicBullet>
  <w:abstractNum w:abstractNumId="0">
    <w:nsid w:val="0AE23772"/>
    <w:multiLevelType w:val="hybridMultilevel"/>
    <w:tmpl w:val="802A2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7C1"/>
    <w:multiLevelType w:val="hybridMultilevel"/>
    <w:tmpl w:val="D398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D80"/>
    <w:multiLevelType w:val="hybridMultilevel"/>
    <w:tmpl w:val="476A2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3925"/>
    <w:multiLevelType w:val="hybridMultilevel"/>
    <w:tmpl w:val="EB746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350"/>
    <w:multiLevelType w:val="hybridMultilevel"/>
    <w:tmpl w:val="9E744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4971"/>
    <w:multiLevelType w:val="hybridMultilevel"/>
    <w:tmpl w:val="84063BC8"/>
    <w:lvl w:ilvl="0" w:tplc="DC1CA7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D1EF1"/>
    <w:multiLevelType w:val="hybridMultilevel"/>
    <w:tmpl w:val="5C2A3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A0360"/>
    <w:multiLevelType w:val="hybridMultilevel"/>
    <w:tmpl w:val="4C1C5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3358"/>
    <w:multiLevelType w:val="hybridMultilevel"/>
    <w:tmpl w:val="8E96B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803"/>
    <w:rsid w:val="00000C80"/>
    <w:rsid w:val="0049376A"/>
    <w:rsid w:val="00552F17"/>
    <w:rsid w:val="0060181C"/>
    <w:rsid w:val="006A5F7D"/>
    <w:rsid w:val="00824333"/>
    <w:rsid w:val="009150AE"/>
    <w:rsid w:val="00926D6D"/>
    <w:rsid w:val="00AE1ED7"/>
    <w:rsid w:val="00D32A3D"/>
    <w:rsid w:val="00F4342C"/>
    <w:rsid w:val="00F525FD"/>
    <w:rsid w:val="00F9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table" w:styleId="Mkatabulky">
    <w:name w:val="Table Grid"/>
    <w:basedOn w:val="Normlntabulka"/>
    <w:uiPriority w:val="59"/>
    <w:rsid w:val="00F4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2</cp:revision>
  <dcterms:created xsi:type="dcterms:W3CDTF">2018-01-26T17:11:00Z</dcterms:created>
  <dcterms:modified xsi:type="dcterms:W3CDTF">2018-01-26T20:44:00Z</dcterms:modified>
</cp:coreProperties>
</file>